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5D70B2">
      <w:pPr>
        <w:pStyle w:val="38"/>
        <w:jc w:val="both"/>
        <w:rPr>
          <w:rFonts w:hint="eastAsia" w:asciiTheme="majorEastAsia" w:hAnsiTheme="majorEastAsia" w:eastAsiaTheme="majorEastAsia" w:cstheme="majorEastAsia"/>
          <w:b/>
          <w:bCs/>
          <w:color w:val="auto"/>
          <w:sz w:val="84"/>
          <w:szCs w:val="84"/>
          <w:highlight w:val="none"/>
        </w:rPr>
      </w:pPr>
      <w:bookmarkStart w:id="0" w:name="_Toc383679746"/>
      <w:bookmarkStart w:id="1" w:name="_Toc390098840"/>
      <w:bookmarkStart w:id="2" w:name="_Toc390246905"/>
      <w:bookmarkStart w:id="3" w:name="_Toc383587456"/>
      <w:bookmarkStart w:id="4" w:name="_Toc383698647"/>
      <w:bookmarkStart w:id="5" w:name="_Toc426469868"/>
      <w:bookmarkStart w:id="6" w:name="_Toc383625993"/>
      <w:bookmarkStart w:id="7" w:name="_Toc383623944"/>
      <w:bookmarkStart w:id="8" w:name="_Toc390099018"/>
      <w:bookmarkStart w:id="9" w:name="_Toc383623672"/>
      <w:bookmarkStart w:id="355" w:name="_GoBack"/>
    </w:p>
    <w:p w14:paraId="17093065">
      <w:pPr>
        <w:pStyle w:val="38"/>
        <w:jc w:val="center"/>
        <w:rPr>
          <w:rFonts w:hint="eastAsia" w:asciiTheme="majorEastAsia" w:hAnsiTheme="majorEastAsia" w:eastAsiaTheme="majorEastAsia" w:cstheme="majorEastAsia"/>
          <w:b/>
          <w:bCs/>
          <w:color w:val="auto"/>
          <w:sz w:val="84"/>
          <w:szCs w:val="84"/>
          <w:highlight w:val="none"/>
        </w:rPr>
      </w:pPr>
      <w:r>
        <w:rPr>
          <w:rFonts w:hint="eastAsia" w:asciiTheme="majorEastAsia" w:hAnsiTheme="majorEastAsia" w:eastAsiaTheme="majorEastAsia" w:cstheme="majorEastAsia"/>
          <w:b/>
          <w:bCs/>
          <w:color w:val="auto"/>
          <w:sz w:val="72"/>
          <w:szCs w:val="72"/>
          <w:highlight w:val="none"/>
        </w:rPr>
        <w:t>招　标　文　件</w:t>
      </w:r>
    </w:p>
    <w:p w14:paraId="4247A5E3">
      <w:pPr>
        <w:pStyle w:val="38"/>
        <w:spacing w:line="540" w:lineRule="exact"/>
        <w:rPr>
          <w:rFonts w:hint="eastAsia" w:asciiTheme="majorEastAsia" w:hAnsiTheme="majorEastAsia" w:eastAsiaTheme="majorEastAsia" w:cstheme="majorEastAsia"/>
          <w:b/>
          <w:bCs/>
          <w:color w:val="auto"/>
          <w:sz w:val="32"/>
          <w:szCs w:val="32"/>
          <w:highlight w:val="none"/>
        </w:rPr>
      </w:pPr>
    </w:p>
    <w:p w14:paraId="49850BC8">
      <w:pPr>
        <w:pStyle w:val="38"/>
        <w:spacing w:line="540" w:lineRule="exact"/>
        <w:rPr>
          <w:rFonts w:hint="eastAsia" w:asciiTheme="majorEastAsia" w:hAnsiTheme="majorEastAsia" w:eastAsiaTheme="majorEastAsia" w:cstheme="majorEastAsia"/>
          <w:b/>
          <w:bCs/>
          <w:color w:val="auto"/>
          <w:sz w:val="32"/>
          <w:szCs w:val="32"/>
          <w:highlight w:val="none"/>
        </w:rPr>
      </w:pPr>
    </w:p>
    <w:p w14:paraId="426C9F2A">
      <w:pPr>
        <w:pStyle w:val="38"/>
        <w:spacing w:line="540" w:lineRule="exact"/>
        <w:rPr>
          <w:rFonts w:hint="eastAsia" w:asciiTheme="majorEastAsia" w:hAnsiTheme="majorEastAsia" w:eastAsiaTheme="majorEastAsia" w:cstheme="majorEastAsia"/>
          <w:b/>
          <w:bCs/>
          <w:color w:val="auto"/>
          <w:sz w:val="32"/>
          <w:szCs w:val="32"/>
          <w:highlight w:val="none"/>
        </w:rPr>
      </w:pPr>
    </w:p>
    <w:p w14:paraId="57774997">
      <w:pPr>
        <w:pStyle w:val="38"/>
        <w:spacing w:line="540" w:lineRule="exact"/>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t xml:space="preserve">                                                                                                                                                                                                                                                                                                                                                                                                                                                                                                                                                                                                                                                                                                                                                                                                                                                                                                                                                                                                                                                                                                                                                                                                                                                                                                                                                                                                                                                                                                                                                                                                                         </w:t>
      </w:r>
    </w:p>
    <w:p w14:paraId="627A5FF9">
      <w:pPr>
        <w:widowControl/>
        <w:ind w:left="2266" w:hanging="2266" w:hangingChars="513"/>
        <w:jc w:val="left"/>
        <w:rPr>
          <w:rFonts w:hint="eastAsia" w:asciiTheme="majorEastAsia" w:hAnsiTheme="majorEastAsia" w:eastAsiaTheme="majorEastAsia" w:cstheme="majorEastAsia"/>
          <w:b/>
          <w:bCs/>
          <w:color w:val="auto"/>
          <w:sz w:val="44"/>
          <w:szCs w:val="44"/>
          <w:highlight w:val="none"/>
        </w:rPr>
      </w:pPr>
      <w:r>
        <w:rPr>
          <w:rFonts w:hint="eastAsia" w:asciiTheme="majorEastAsia" w:hAnsiTheme="majorEastAsia" w:eastAsiaTheme="majorEastAsia" w:cstheme="majorEastAsia"/>
          <w:b/>
          <w:bCs/>
          <w:color w:val="auto"/>
          <w:sz w:val="44"/>
          <w:szCs w:val="44"/>
          <w:highlight w:val="none"/>
        </w:rPr>
        <w:t>项目名称</w:t>
      </w:r>
      <w:r>
        <w:rPr>
          <w:rFonts w:hint="eastAsia" w:asciiTheme="majorEastAsia" w:hAnsiTheme="majorEastAsia" w:eastAsiaTheme="majorEastAsia" w:cstheme="majorEastAsia"/>
          <w:color w:val="auto"/>
          <w:sz w:val="44"/>
          <w:szCs w:val="44"/>
          <w:highlight w:val="none"/>
        </w:rPr>
        <w:t>：</w:t>
      </w:r>
      <w:r>
        <w:rPr>
          <w:rFonts w:hint="eastAsia" w:asciiTheme="majorEastAsia" w:hAnsiTheme="majorEastAsia" w:eastAsiaTheme="majorEastAsia" w:cstheme="majorEastAsia"/>
          <w:color w:val="auto"/>
          <w:sz w:val="44"/>
          <w:szCs w:val="44"/>
          <w:highlight w:val="none"/>
          <w:lang w:eastAsia="zh-CN"/>
        </w:rPr>
        <w:t>泰兴市第二人民医院卒中胸痛信息系统采购</w:t>
      </w:r>
      <w:r>
        <w:rPr>
          <w:rFonts w:hint="eastAsia" w:asciiTheme="majorEastAsia" w:hAnsiTheme="majorEastAsia" w:eastAsiaTheme="majorEastAsia" w:cstheme="majorEastAsia"/>
          <w:color w:val="auto"/>
          <w:sz w:val="44"/>
          <w:szCs w:val="44"/>
          <w:highlight w:val="none"/>
          <w:lang w:val="en-US" w:eastAsia="zh-CN"/>
        </w:rPr>
        <w:t>项目</w:t>
      </w:r>
      <w:r>
        <w:rPr>
          <w:rFonts w:hint="eastAsia" w:asciiTheme="majorEastAsia" w:hAnsiTheme="majorEastAsia" w:eastAsiaTheme="majorEastAsia" w:cstheme="majorEastAsia"/>
          <w:b/>
          <w:bCs/>
          <w:color w:val="auto"/>
          <w:sz w:val="44"/>
          <w:szCs w:val="44"/>
          <w:highlight w:val="none"/>
        </w:rPr>
        <w:t xml:space="preserve"> </w:t>
      </w:r>
    </w:p>
    <w:p w14:paraId="604A1BA0">
      <w:pPr>
        <w:widowControl/>
        <w:rPr>
          <w:rFonts w:hint="eastAsia" w:asciiTheme="majorEastAsia" w:hAnsiTheme="majorEastAsia" w:eastAsiaTheme="majorEastAsia" w:cstheme="majorEastAsia"/>
          <w:color w:val="auto"/>
          <w:sz w:val="44"/>
          <w:szCs w:val="44"/>
          <w:highlight w:val="none"/>
          <w:lang w:eastAsia="zh-CN"/>
        </w:rPr>
      </w:pPr>
      <w:r>
        <w:rPr>
          <w:rFonts w:hint="eastAsia" w:asciiTheme="majorEastAsia" w:hAnsiTheme="majorEastAsia" w:eastAsiaTheme="majorEastAsia" w:cstheme="majorEastAsia"/>
          <w:b/>
          <w:bCs/>
          <w:color w:val="auto"/>
          <w:sz w:val="44"/>
          <w:szCs w:val="44"/>
          <w:highlight w:val="none"/>
        </w:rPr>
        <w:t>项目编号：</w:t>
      </w:r>
      <w:r>
        <w:rPr>
          <w:rFonts w:hint="eastAsia" w:asciiTheme="majorEastAsia" w:hAnsiTheme="majorEastAsia" w:eastAsiaTheme="majorEastAsia" w:cstheme="majorEastAsia"/>
          <w:b/>
          <w:bCs/>
          <w:color w:val="auto"/>
          <w:sz w:val="44"/>
          <w:szCs w:val="44"/>
          <w:highlight w:val="none"/>
          <w:lang w:eastAsia="zh-CN"/>
        </w:rPr>
        <w:t>JSZC-321283-GXGL-G2025-0046</w:t>
      </w:r>
    </w:p>
    <w:p w14:paraId="42239594">
      <w:pPr>
        <w:pStyle w:val="38"/>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7FD8C4A1">
      <w:pPr>
        <w:pStyle w:val="38"/>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2D939FB0">
      <w:pPr>
        <w:pStyle w:val="38"/>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57F6700A">
      <w:pPr>
        <w:pStyle w:val="38"/>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21B7F1E3">
      <w:pPr>
        <w:pStyle w:val="38"/>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5594D82A">
      <w:pPr>
        <w:pStyle w:val="38"/>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14958577">
      <w:pPr>
        <w:pStyle w:val="38"/>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24BCA36B">
      <w:pPr>
        <w:pStyle w:val="38"/>
        <w:spacing w:line="540" w:lineRule="exact"/>
        <w:ind w:firstLine="643" w:firstLineChars="200"/>
        <w:jc w:val="center"/>
        <w:rPr>
          <w:rFonts w:hint="eastAsia" w:asciiTheme="majorEastAsia" w:hAnsiTheme="majorEastAsia" w:eastAsiaTheme="majorEastAsia" w:cstheme="majorEastAsia"/>
          <w:b/>
          <w:color w:val="auto"/>
          <w:sz w:val="32"/>
          <w:szCs w:val="32"/>
          <w:highlight w:val="none"/>
        </w:rPr>
      </w:pPr>
    </w:p>
    <w:p w14:paraId="0A39E1DB">
      <w:pPr>
        <w:pStyle w:val="56"/>
        <w:spacing w:line="500" w:lineRule="exact"/>
        <w:ind w:left="0" w:leftChars="0" w:firstLine="0" w:firstLineChars="0"/>
        <w:jc w:val="center"/>
        <w:rPr>
          <w:rFonts w:hint="default" w:asciiTheme="majorEastAsia" w:hAnsiTheme="majorEastAsia" w:eastAsiaTheme="majorEastAsia" w:cstheme="majorEastAsia"/>
          <w:b/>
          <w:bCs/>
          <w:color w:val="auto"/>
          <w:sz w:val="30"/>
          <w:szCs w:val="30"/>
          <w:highlight w:val="none"/>
          <w:lang w:val="en-US"/>
        </w:rPr>
      </w:pPr>
      <w:bookmarkStart w:id="10" w:name="_Toc8578"/>
      <w:r>
        <w:rPr>
          <w:rFonts w:hint="eastAsia" w:asciiTheme="majorEastAsia" w:hAnsiTheme="majorEastAsia" w:eastAsiaTheme="majorEastAsia" w:cstheme="majorEastAsia"/>
          <w:b/>
          <w:bCs/>
          <w:color w:val="auto"/>
          <w:sz w:val="30"/>
          <w:szCs w:val="30"/>
          <w:highlight w:val="none"/>
        </w:rPr>
        <w:t>采购人：</w:t>
      </w:r>
      <w:bookmarkEnd w:id="10"/>
      <w:r>
        <w:rPr>
          <w:rFonts w:hint="eastAsia" w:asciiTheme="majorEastAsia" w:hAnsiTheme="majorEastAsia" w:eastAsiaTheme="majorEastAsia" w:cstheme="majorEastAsia"/>
          <w:b/>
          <w:bCs/>
          <w:color w:val="auto"/>
          <w:sz w:val="30"/>
          <w:szCs w:val="30"/>
          <w:highlight w:val="none"/>
          <w:lang w:eastAsia="zh-CN"/>
        </w:rPr>
        <w:t>泰兴市</w:t>
      </w:r>
      <w:r>
        <w:rPr>
          <w:rFonts w:hint="eastAsia" w:asciiTheme="majorEastAsia" w:hAnsiTheme="majorEastAsia" w:eastAsiaTheme="majorEastAsia" w:cstheme="majorEastAsia"/>
          <w:b/>
          <w:bCs/>
          <w:color w:val="auto"/>
          <w:sz w:val="30"/>
          <w:szCs w:val="30"/>
          <w:highlight w:val="none"/>
          <w:lang w:val="en-US" w:eastAsia="zh-CN"/>
        </w:rPr>
        <w:t>第二人民医院</w:t>
      </w:r>
    </w:p>
    <w:p w14:paraId="67176393">
      <w:pPr>
        <w:pStyle w:val="56"/>
        <w:spacing w:line="500" w:lineRule="exact"/>
        <w:ind w:left="0" w:leftChars="0" w:firstLine="0" w:firstLineChars="0"/>
        <w:jc w:val="center"/>
        <w:rPr>
          <w:rFonts w:hint="eastAsia" w:asciiTheme="majorEastAsia" w:hAnsiTheme="majorEastAsia" w:eastAsiaTheme="majorEastAsia" w:cstheme="majorEastAsia"/>
          <w:b/>
          <w:bCs/>
          <w:color w:val="auto"/>
          <w:sz w:val="30"/>
          <w:szCs w:val="30"/>
          <w:highlight w:val="none"/>
        </w:rPr>
      </w:pPr>
      <w:bookmarkStart w:id="11" w:name="_Toc16534"/>
      <w:r>
        <w:rPr>
          <w:rFonts w:hint="eastAsia" w:asciiTheme="majorEastAsia" w:hAnsiTheme="majorEastAsia" w:eastAsiaTheme="majorEastAsia" w:cstheme="majorEastAsia"/>
          <w:b/>
          <w:bCs/>
          <w:color w:val="auto"/>
          <w:sz w:val="30"/>
          <w:szCs w:val="30"/>
          <w:highlight w:val="none"/>
        </w:rPr>
        <w:t>代理机构：</w:t>
      </w:r>
      <w:bookmarkEnd w:id="11"/>
      <w:r>
        <w:rPr>
          <w:rFonts w:hint="eastAsia" w:asciiTheme="majorEastAsia" w:hAnsiTheme="majorEastAsia" w:eastAsiaTheme="majorEastAsia" w:cstheme="majorEastAsia"/>
          <w:b/>
          <w:bCs/>
          <w:color w:val="auto"/>
          <w:sz w:val="30"/>
          <w:szCs w:val="30"/>
          <w:highlight w:val="none"/>
        </w:rPr>
        <w:t>江苏国兴建设项目管理有限公司</w:t>
      </w:r>
    </w:p>
    <w:p w14:paraId="4827D532">
      <w:pPr>
        <w:pStyle w:val="56"/>
        <w:spacing w:line="500" w:lineRule="exact"/>
        <w:ind w:left="0" w:leftChars="0" w:firstLine="0" w:firstLineChars="0"/>
        <w:jc w:val="center"/>
        <w:rPr>
          <w:rFonts w:hint="eastAsia" w:asciiTheme="majorEastAsia" w:hAnsiTheme="majorEastAsia" w:eastAsiaTheme="majorEastAsia" w:cstheme="majorEastAsia"/>
          <w:b/>
          <w:bCs/>
          <w:color w:val="auto"/>
          <w:sz w:val="30"/>
          <w:szCs w:val="30"/>
          <w:highlight w:val="none"/>
        </w:rPr>
      </w:pPr>
      <w:r>
        <w:rPr>
          <w:rFonts w:hint="eastAsia" w:asciiTheme="majorEastAsia" w:hAnsiTheme="majorEastAsia" w:eastAsiaTheme="majorEastAsia" w:cstheme="majorEastAsia"/>
          <w:b/>
          <w:bCs/>
          <w:color w:val="auto"/>
          <w:sz w:val="30"/>
          <w:szCs w:val="30"/>
          <w:highlight w:val="none"/>
        </w:rPr>
        <w:t>二○二</w:t>
      </w:r>
      <w:r>
        <w:rPr>
          <w:rFonts w:hint="eastAsia" w:asciiTheme="majorEastAsia" w:hAnsiTheme="majorEastAsia" w:eastAsiaTheme="majorEastAsia" w:cstheme="majorEastAsia"/>
          <w:b/>
          <w:bCs/>
          <w:color w:val="auto"/>
          <w:sz w:val="30"/>
          <w:szCs w:val="30"/>
          <w:highlight w:val="none"/>
          <w:lang w:val="en-US" w:eastAsia="zh-CN"/>
        </w:rPr>
        <w:t>五</w:t>
      </w:r>
      <w:r>
        <w:rPr>
          <w:rFonts w:hint="eastAsia" w:asciiTheme="majorEastAsia" w:hAnsiTheme="majorEastAsia" w:eastAsiaTheme="majorEastAsia" w:cstheme="majorEastAsia"/>
          <w:b/>
          <w:bCs/>
          <w:color w:val="auto"/>
          <w:sz w:val="30"/>
          <w:szCs w:val="30"/>
          <w:highlight w:val="none"/>
        </w:rPr>
        <w:t>年</w:t>
      </w:r>
      <w:r>
        <w:rPr>
          <w:rFonts w:hint="eastAsia" w:asciiTheme="majorEastAsia" w:hAnsiTheme="majorEastAsia" w:eastAsiaTheme="majorEastAsia" w:cstheme="majorEastAsia"/>
          <w:b/>
          <w:bCs/>
          <w:color w:val="auto"/>
          <w:sz w:val="30"/>
          <w:szCs w:val="30"/>
          <w:highlight w:val="none"/>
          <w:lang w:val="en-US" w:eastAsia="zh-CN"/>
        </w:rPr>
        <w:t>十</w:t>
      </w:r>
      <w:r>
        <w:rPr>
          <w:rFonts w:hint="eastAsia" w:asciiTheme="majorEastAsia" w:hAnsiTheme="majorEastAsia" w:eastAsiaTheme="majorEastAsia" w:cstheme="majorEastAsia"/>
          <w:b/>
          <w:bCs/>
          <w:color w:val="auto"/>
          <w:sz w:val="30"/>
          <w:szCs w:val="30"/>
          <w:highlight w:val="none"/>
        </w:rPr>
        <w:t>月</w:t>
      </w:r>
    </w:p>
    <w:p w14:paraId="6908F7F9">
      <w:pPr>
        <w:rPr>
          <w:rFonts w:hint="eastAsia" w:asciiTheme="majorEastAsia" w:hAnsiTheme="majorEastAsia" w:eastAsiaTheme="majorEastAsia" w:cstheme="majorEastAsia"/>
          <w:b/>
          <w:color w:val="auto"/>
          <w:sz w:val="30"/>
          <w:szCs w:val="30"/>
          <w:highlight w:val="none"/>
        </w:rPr>
      </w:pPr>
      <w:r>
        <w:rPr>
          <w:rFonts w:hint="eastAsia" w:asciiTheme="majorEastAsia" w:hAnsiTheme="majorEastAsia" w:eastAsiaTheme="majorEastAsia" w:cstheme="majorEastAsia"/>
          <w:b/>
          <w:color w:val="auto"/>
          <w:sz w:val="30"/>
          <w:szCs w:val="30"/>
          <w:highlight w:val="none"/>
        </w:rPr>
        <w:br w:type="page"/>
      </w:r>
    </w:p>
    <w:p w14:paraId="7E75B1B9">
      <w:pPr>
        <w:pStyle w:val="56"/>
        <w:spacing w:line="360" w:lineRule="exact"/>
        <w:ind w:left="1110" w:firstLine="2259" w:firstLineChars="750"/>
        <w:rPr>
          <w:rFonts w:hint="eastAsia" w:asciiTheme="majorEastAsia" w:hAnsiTheme="majorEastAsia" w:eastAsiaTheme="majorEastAsia" w:cstheme="majorEastAsia"/>
          <w:b/>
          <w:color w:val="auto"/>
          <w:sz w:val="30"/>
          <w:szCs w:val="30"/>
          <w:highlight w:val="none"/>
        </w:rPr>
      </w:pPr>
    </w:p>
    <w:sdt>
      <w:sdtPr>
        <w:rPr>
          <w:rFonts w:ascii="宋体" w:hAnsi="宋体"/>
          <w:color w:val="auto"/>
          <w:sz w:val="21"/>
          <w:highlight w:val="none"/>
        </w:rPr>
        <w:id w:val="147467045"/>
        <w15:color w:val="DBDBDB"/>
        <w:docPartObj>
          <w:docPartGallery w:val="Table of Contents"/>
          <w:docPartUnique/>
        </w:docPartObj>
      </w:sdtPr>
      <w:sdtEndPr>
        <w:rPr>
          <w:rFonts w:ascii="宋体" w:hAnsi="宋体"/>
          <w:b/>
          <w:color w:val="auto"/>
          <w:sz w:val="21"/>
          <w:highlight w:val="none"/>
        </w:rPr>
      </w:sdtEndPr>
      <w:sdtContent>
        <w:p w14:paraId="3E11C6CB">
          <w:pPr>
            <w:jc w:val="center"/>
            <w:rPr>
              <w:color w:val="auto"/>
              <w:highlight w:val="none"/>
            </w:rPr>
          </w:pPr>
          <w:r>
            <w:rPr>
              <w:rFonts w:hint="eastAsia" w:asciiTheme="majorEastAsia" w:hAnsiTheme="majorEastAsia" w:eastAsiaTheme="majorEastAsia" w:cstheme="majorEastAsia"/>
              <w:b/>
              <w:bCs/>
              <w:color w:val="auto"/>
              <w:sz w:val="32"/>
              <w:szCs w:val="32"/>
              <w:highlight w:val="none"/>
            </w:rPr>
            <w:t>目  录</w:t>
          </w:r>
        </w:p>
        <w:p w14:paraId="225BB040">
          <w:pPr>
            <w:pStyle w:val="60"/>
            <w:tabs>
              <w:tab w:val="right" w:leader="dot" w:pos="8548"/>
            </w:tabs>
            <w:rPr>
              <w:b/>
              <w:color w:val="auto"/>
              <w:highlight w:val="none"/>
            </w:rPr>
          </w:pPr>
          <w:r>
            <w:rPr>
              <w:color w:val="auto"/>
              <w:highlight w:val="none"/>
            </w:rPr>
            <w:fldChar w:fldCharType="begin"/>
          </w:r>
          <w:r>
            <w:rPr>
              <w:color w:val="auto"/>
              <w:highlight w:val="none"/>
            </w:rPr>
            <w:instrText xml:space="preserve">TOC \o "1-2" \h \u </w:instrText>
          </w:r>
          <w:r>
            <w:rPr>
              <w:color w:val="auto"/>
              <w:highlight w:val="none"/>
            </w:rPr>
            <w:fldChar w:fldCharType="separate"/>
          </w:r>
        </w:p>
        <w:p w14:paraId="39AAC987">
          <w:pPr>
            <w:pStyle w:val="60"/>
            <w:tabs>
              <w:tab w:val="right" w:leader="dot" w:pos="8548"/>
            </w:tabs>
            <w:rPr>
              <w:b/>
              <w:color w:val="auto"/>
              <w:sz w:val="24"/>
              <w:szCs w:val="24"/>
              <w:highlight w:val="none"/>
            </w:rPr>
          </w:pPr>
          <w:r>
            <w:rPr>
              <w:color w:val="auto"/>
              <w:highlight w:val="none"/>
            </w:rPr>
            <w:fldChar w:fldCharType="begin"/>
          </w:r>
          <w:r>
            <w:rPr>
              <w:color w:val="auto"/>
              <w:highlight w:val="none"/>
            </w:rPr>
            <w:instrText xml:space="preserve"> HYPERLINK \l "_Toc24611" </w:instrText>
          </w:r>
          <w:r>
            <w:rPr>
              <w:color w:val="auto"/>
              <w:highlight w:val="none"/>
            </w:rPr>
            <w:fldChar w:fldCharType="separate"/>
          </w:r>
          <w:r>
            <w:rPr>
              <w:rFonts w:hint="eastAsia" w:asciiTheme="majorEastAsia" w:hAnsiTheme="majorEastAsia" w:eastAsiaTheme="majorEastAsia" w:cstheme="majorEastAsia"/>
              <w:b/>
              <w:color w:val="auto"/>
              <w:sz w:val="24"/>
              <w:szCs w:val="24"/>
              <w:highlight w:val="none"/>
            </w:rPr>
            <w:t>第一章 招标公告</w:t>
          </w:r>
          <w:r>
            <w:rPr>
              <w:b/>
              <w:color w:val="auto"/>
              <w:sz w:val="24"/>
              <w:szCs w:val="24"/>
              <w:highlight w:val="none"/>
            </w:rPr>
            <w:tab/>
          </w:r>
          <w:r>
            <w:rPr>
              <w:b/>
              <w:color w:val="auto"/>
              <w:sz w:val="24"/>
              <w:szCs w:val="24"/>
              <w:highlight w:val="none"/>
            </w:rPr>
            <w:fldChar w:fldCharType="begin"/>
          </w:r>
          <w:r>
            <w:rPr>
              <w:b/>
              <w:color w:val="auto"/>
              <w:sz w:val="24"/>
              <w:szCs w:val="24"/>
              <w:highlight w:val="none"/>
            </w:rPr>
            <w:instrText xml:space="preserve"> PAGEREF _Toc24611 \h </w:instrText>
          </w:r>
          <w:r>
            <w:rPr>
              <w:b/>
              <w:color w:val="auto"/>
              <w:sz w:val="24"/>
              <w:szCs w:val="24"/>
              <w:highlight w:val="none"/>
            </w:rPr>
            <w:fldChar w:fldCharType="separate"/>
          </w:r>
          <w:r>
            <w:rPr>
              <w:b/>
              <w:color w:val="auto"/>
              <w:sz w:val="24"/>
              <w:szCs w:val="24"/>
              <w:highlight w:val="none"/>
            </w:rPr>
            <w:t>3</w:t>
          </w:r>
          <w:r>
            <w:rPr>
              <w:b/>
              <w:color w:val="auto"/>
              <w:sz w:val="24"/>
              <w:szCs w:val="24"/>
              <w:highlight w:val="none"/>
            </w:rPr>
            <w:fldChar w:fldCharType="end"/>
          </w:r>
          <w:r>
            <w:rPr>
              <w:b/>
              <w:color w:val="auto"/>
              <w:sz w:val="24"/>
              <w:szCs w:val="24"/>
              <w:highlight w:val="none"/>
            </w:rPr>
            <w:fldChar w:fldCharType="end"/>
          </w:r>
        </w:p>
        <w:p w14:paraId="3472C8D0">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"_Toc8644"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一、项目基本情况</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_Toc8644 \h </w:instrText>
          </w:r>
          <w:r>
            <w:rPr>
              <w:color w:val="auto"/>
              <w:sz w:val="24"/>
              <w:szCs w:val="24"/>
              <w:highlight w:val="none"/>
            </w:rPr>
            <w:fldChar w:fldCharType="separate"/>
          </w:r>
          <w:r>
            <w:rPr>
              <w:color w:val="auto"/>
              <w:sz w:val="24"/>
              <w:szCs w:val="24"/>
              <w:highlight w:val="none"/>
            </w:rPr>
            <w:t>3</w:t>
          </w:r>
          <w:r>
            <w:rPr>
              <w:color w:val="auto"/>
              <w:sz w:val="24"/>
              <w:szCs w:val="24"/>
              <w:highlight w:val="none"/>
            </w:rPr>
            <w:fldChar w:fldCharType="end"/>
          </w:r>
          <w:r>
            <w:rPr>
              <w:color w:val="auto"/>
              <w:sz w:val="24"/>
              <w:szCs w:val="24"/>
              <w:highlight w:val="none"/>
            </w:rPr>
            <w:fldChar w:fldCharType="end"/>
          </w:r>
        </w:p>
        <w:p w14:paraId="0E157273">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"_Toc24495"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二、申请人的资格要求：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_Toc24495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3CAB170E">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"_Toc1657"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三、获取招标文件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_Toc1657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55AD61C4">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"_Toc17642"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四、提交投标文件截止时间、开标时间和地点</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_Toc17642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6EE1CB03">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"_Toc13270"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五、公告期限</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_Toc13270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4CE951BE">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"_Toc24651"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六、其他补充事宜</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_Toc24651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644B6AF4">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"_Toc18289"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七、对本次招标提出询问，请按以下方式联系。</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_Toc18289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747B747B">
          <w:pPr>
            <w:pStyle w:val="60"/>
            <w:tabs>
              <w:tab w:val="right" w:leader="dot" w:pos="8548"/>
            </w:tabs>
            <w:rPr>
              <w:b/>
              <w:color w:val="auto"/>
              <w:sz w:val="24"/>
              <w:szCs w:val="24"/>
              <w:highlight w:val="none"/>
            </w:rPr>
          </w:pPr>
          <w:r>
            <w:rPr>
              <w:color w:val="auto"/>
              <w:highlight w:val="none"/>
            </w:rPr>
            <w:fldChar w:fldCharType="begin"/>
          </w:r>
          <w:r>
            <w:rPr>
              <w:color w:val="auto"/>
              <w:highlight w:val="none"/>
            </w:rPr>
            <w:instrText xml:space="preserve"> HYPERLINK \l "_Toc987" </w:instrText>
          </w:r>
          <w:r>
            <w:rPr>
              <w:color w:val="auto"/>
              <w:highlight w:val="none"/>
            </w:rPr>
            <w:fldChar w:fldCharType="separate"/>
          </w:r>
          <w:r>
            <w:rPr>
              <w:rFonts w:hint="eastAsia" w:asciiTheme="majorEastAsia" w:hAnsiTheme="majorEastAsia" w:eastAsiaTheme="majorEastAsia" w:cstheme="majorEastAsia"/>
              <w:b/>
              <w:color w:val="auto"/>
              <w:sz w:val="24"/>
              <w:szCs w:val="24"/>
              <w:highlight w:val="none"/>
            </w:rPr>
            <w:t xml:space="preserve">第二章 </w:t>
          </w:r>
          <w:r>
            <w:rPr>
              <w:rFonts w:hint="eastAsia" w:asciiTheme="majorEastAsia" w:hAnsiTheme="majorEastAsia" w:eastAsiaTheme="majorEastAsia" w:cstheme="majorEastAsia"/>
              <w:color w:val="auto"/>
              <w:sz w:val="24"/>
              <w:szCs w:val="24"/>
              <w:highlight w:val="none"/>
            </w:rPr>
            <w:t>供应商</w:t>
          </w:r>
          <w:r>
            <w:rPr>
              <w:rFonts w:hint="eastAsia" w:asciiTheme="majorEastAsia" w:hAnsiTheme="majorEastAsia" w:eastAsiaTheme="majorEastAsia" w:cstheme="majorEastAsia"/>
              <w:b/>
              <w:color w:val="auto"/>
              <w:sz w:val="24"/>
              <w:szCs w:val="24"/>
              <w:highlight w:val="none"/>
            </w:rPr>
            <w:t>须知</w:t>
          </w:r>
          <w:r>
            <w:rPr>
              <w:b/>
              <w:color w:val="auto"/>
              <w:sz w:val="24"/>
              <w:szCs w:val="24"/>
              <w:highlight w:val="none"/>
            </w:rPr>
            <w:tab/>
          </w:r>
          <w:r>
            <w:rPr>
              <w:b/>
              <w:color w:val="auto"/>
              <w:sz w:val="24"/>
              <w:szCs w:val="24"/>
              <w:highlight w:val="none"/>
            </w:rPr>
            <w:fldChar w:fldCharType="begin"/>
          </w:r>
          <w:r>
            <w:rPr>
              <w:b/>
              <w:color w:val="auto"/>
              <w:sz w:val="24"/>
              <w:szCs w:val="24"/>
              <w:highlight w:val="none"/>
            </w:rPr>
            <w:instrText xml:space="preserve"> PAGEREF _Toc987 \h </w:instrText>
          </w:r>
          <w:r>
            <w:rPr>
              <w:b/>
              <w:color w:val="auto"/>
              <w:sz w:val="24"/>
              <w:szCs w:val="24"/>
              <w:highlight w:val="none"/>
            </w:rPr>
            <w:fldChar w:fldCharType="separate"/>
          </w:r>
          <w:r>
            <w:rPr>
              <w:b/>
              <w:color w:val="auto"/>
              <w:sz w:val="24"/>
              <w:szCs w:val="24"/>
              <w:highlight w:val="none"/>
            </w:rPr>
            <w:t>6</w:t>
          </w:r>
          <w:r>
            <w:rPr>
              <w:b/>
              <w:color w:val="auto"/>
              <w:sz w:val="24"/>
              <w:szCs w:val="24"/>
              <w:highlight w:val="none"/>
            </w:rPr>
            <w:fldChar w:fldCharType="end"/>
          </w:r>
          <w:r>
            <w:rPr>
              <w:b/>
              <w:color w:val="auto"/>
              <w:sz w:val="24"/>
              <w:szCs w:val="24"/>
              <w:highlight w:val="none"/>
            </w:rPr>
            <w:fldChar w:fldCharType="end"/>
          </w:r>
        </w:p>
        <w:p w14:paraId="2A808C81">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"_Toc4797"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1.总则</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_Toc4797 \h </w:instrText>
          </w:r>
          <w:r>
            <w:rPr>
              <w:color w:val="auto"/>
              <w:sz w:val="24"/>
              <w:szCs w:val="24"/>
              <w:highlight w:val="none"/>
            </w:rPr>
            <w:fldChar w:fldCharType="separate"/>
          </w:r>
          <w:r>
            <w:rPr>
              <w:color w:val="auto"/>
              <w:sz w:val="24"/>
              <w:szCs w:val="24"/>
              <w:highlight w:val="none"/>
            </w:rPr>
            <w:t>8</w:t>
          </w:r>
          <w:r>
            <w:rPr>
              <w:color w:val="auto"/>
              <w:sz w:val="24"/>
              <w:szCs w:val="24"/>
              <w:highlight w:val="none"/>
            </w:rPr>
            <w:fldChar w:fldCharType="end"/>
          </w:r>
          <w:r>
            <w:rPr>
              <w:color w:val="auto"/>
              <w:sz w:val="24"/>
              <w:szCs w:val="24"/>
              <w:highlight w:val="none"/>
            </w:rPr>
            <w:fldChar w:fldCharType="end"/>
          </w:r>
        </w:p>
        <w:p w14:paraId="1FD3653A">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"_Toc3240"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2.招标文件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_Toc3240 \h </w:instrText>
          </w:r>
          <w:r>
            <w:rPr>
              <w:color w:val="auto"/>
              <w:sz w:val="24"/>
              <w:szCs w:val="24"/>
              <w:highlight w:val="none"/>
            </w:rPr>
            <w:fldChar w:fldCharType="separate"/>
          </w:r>
          <w:r>
            <w:rPr>
              <w:color w:val="auto"/>
              <w:sz w:val="24"/>
              <w:szCs w:val="24"/>
              <w:highlight w:val="none"/>
            </w:rPr>
            <w:t>9</w:t>
          </w:r>
          <w:r>
            <w:rPr>
              <w:color w:val="auto"/>
              <w:sz w:val="24"/>
              <w:szCs w:val="24"/>
              <w:highlight w:val="none"/>
            </w:rPr>
            <w:fldChar w:fldCharType="end"/>
          </w:r>
          <w:r>
            <w:rPr>
              <w:color w:val="auto"/>
              <w:sz w:val="24"/>
              <w:szCs w:val="24"/>
              <w:highlight w:val="none"/>
            </w:rPr>
            <w:fldChar w:fldCharType="end"/>
          </w:r>
        </w:p>
        <w:p w14:paraId="6A0F4A0E">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"_Toc4709"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3.投标文件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_Toc4709 \h </w:instrText>
          </w:r>
          <w:r>
            <w:rPr>
              <w:color w:val="auto"/>
              <w:sz w:val="24"/>
              <w:szCs w:val="24"/>
              <w:highlight w:val="none"/>
            </w:rPr>
            <w:fldChar w:fldCharType="separate"/>
          </w:r>
          <w:r>
            <w:rPr>
              <w:color w:val="auto"/>
              <w:sz w:val="24"/>
              <w:szCs w:val="24"/>
              <w:highlight w:val="none"/>
            </w:rPr>
            <w:t>10</w:t>
          </w:r>
          <w:r>
            <w:rPr>
              <w:color w:val="auto"/>
              <w:sz w:val="24"/>
              <w:szCs w:val="24"/>
              <w:highlight w:val="none"/>
            </w:rPr>
            <w:fldChar w:fldCharType="end"/>
          </w:r>
          <w:r>
            <w:rPr>
              <w:color w:val="auto"/>
              <w:sz w:val="24"/>
              <w:szCs w:val="24"/>
              <w:highlight w:val="none"/>
            </w:rPr>
            <w:fldChar w:fldCharType="end"/>
          </w:r>
        </w:p>
        <w:p w14:paraId="4D78908D">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"_Toc12576"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4.投标</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_Toc12576 \h </w:instrText>
          </w:r>
          <w:r>
            <w:rPr>
              <w:color w:val="auto"/>
              <w:sz w:val="24"/>
              <w:szCs w:val="24"/>
              <w:highlight w:val="none"/>
            </w:rPr>
            <w:fldChar w:fldCharType="separate"/>
          </w:r>
          <w:r>
            <w:rPr>
              <w:color w:val="auto"/>
              <w:sz w:val="24"/>
              <w:szCs w:val="24"/>
              <w:highlight w:val="none"/>
            </w:rPr>
            <w:t>11</w:t>
          </w:r>
          <w:r>
            <w:rPr>
              <w:color w:val="auto"/>
              <w:sz w:val="24"/>
              <w:szCs w:val="24"/>
              <w:highlight w:val="none"/>
            </w:rPr>
            <w:fldChar w:fldCharType="end"/>
          </w:r>
          <w:r>
            <w:rPr>
              <w:color w:val="auto"/>
              <w:sz w:val="24"/>
              <w:szCs w:val="24"/>
              <w:highlight w:val="none"/>
            </w:rPr>
            <w:fldChar w:fldCharType="end"/>
          </w:r>
        </w:p>
        <w:p w14:paraId="4E1F3895">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"_Toc26062"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5.开标</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_Toc26062 \h </w:instrText>
          </w:r>
          <w:r>
            <w:rPr>
              <w:color w:val="auto"/>
              <w:sz w:val="24"/>
              <w:szCs w:val="24"/>
              <w:highlight w:val="none"/>
            </w:rPr>
            <w:fldChar w:fldCharType="separate"/>
          </w:r>
          <w:r>
            <w:rPr>
              <w:color w:val="auto"/>
              <w:sz w:val="24"/>
              <w:szCs w:val="24"/>
              <w:highlight w:val="none"/>
            </w:rPr>
            <w:t>11</w:t>
          </w:r>
          <w:r>
            <w:rPr>
              <w:color w:val="auto"/>
              <w:sz w:val="24"/>
              <w:szCs w:val="24"/>
              <w:highlight w:val="none"/>
            </w:rPr>
            <w:fldChar w:fldCharType="end"/>
          </w:r>
          <w:r>
            <w:rPr>
              <w:color w:val="auto"/>
              <w:sz w:val="24"/>
              <w:szCs w:val="24"/>
              <w:highlight w:val="none"/>
            </w:rPr>
            <w:fldChar w:fldCharType="end"/>
          </w:r>
        </w:p>
        <w:p w14:paraId="51CA3F34">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"_Toc29463"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6.评标</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_Toc29463 \h </w:instrText>
          </w:r>
          <w:r>
            <w:rPr>
              <w:color w:val="auto"/>
              <w:sz w:val="24"/>
              <w:szCs w:val="24"/>
              <w:highlight w:val="none"/>
            </w:rPr>
            <w:fldChar w:fldCharType="separate"/>
          </w:r>
          <w:r>
            <w:rPr>
              <w:color w:val="auto"/>
              <w:sz w:val="24"/>
              <w:szCs w:val="24"/>
              <w:highlight w:val="none"/>
            </w:rPr>
            <w:t>12</w:t>
          </w:r>
          <w:r>
            <w:rPr>
              <w:color w:val="auto"/>
              <w:sz w:val="24"/>
              <w:szCs w:val="24"/>
              <w:highlight w:val="none"/>
            </w:rPr>
            <w:fldChar w:fldCharType="end"/>
          </w:r>
          <w:r>
            <w:rPr>
              <w:color w:val="auto"/>
              <w:sz w:val="24"/>
              <w:szCs w:val="24"/>
              <w:highlight w:val="none"/>
            </w:rPr>
            <w:fldChar w:fldCharType="end"/>
          </w:r>
        </w:p>
        <w:p w14:paraId="23391AB6">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"_Toc28529"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7.中标</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_Toc28529 \h </w:instrText>
          </w:r>
          <w:r>
            <w:rPr>
              <w:color w:val="auto"/>
              <w:sz w:val="24"/>
              <w:szCs w:val="24"/>
              <w:highlight w:val="none"/>
            </w:rPr>
            <w:fldChar w:fldCharType="separate"/>
          </w:r>
          <w:r>
            <w:rPr>
              <w:color w:val="auto"/>
              <w:sz w:val="24"/>
              <w:szCs w:val="24"/>
              <w:highlight w:val="none"/>
            </w:rPr>
            <w:t>13</w:t>
          </w:r>
          <w:r>
            <w:rPr>
              <w:color w:val="auto"/>
              <w:sz w:val="24"/>
              <w:szCs w:val="24"/>
              <w:highlight w:val="none"/>
            </w:rPr>
            <w:fldChar w:fldCharType="end"/>
          </w:r>
          <w:r>
            <w:rPr>
              <w:color w:val="auto"/>
              <w:sz w:val="24"/>
              <w:szCs w:val="24"/>
              <w:highlight w:val="none"/>
            </w:rPr>
            <w:fldChar w:fldCharType="end"/>
          </w:r>
        </w:p>
        <w:p w14:paraId="176C8DEA">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"_Toc23349"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8.合同</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_Toc23349 \h </w:instrText>
          </w:r>
          <w:r>
            <w:rPr>
              <w:color w:val="auto"/>
              <w:sz w:val="24"/>
              <w:szCs w:val="24"/>
              <w:highlight w:val="none"/>
            </w:rPr>
            <w:fldChar w:fldCharType="separate"/>
          </w:r>
          <w:r>
            <w:rPr>
              <w:color w:val="auto"/>
              <w:sz w:val="24"/>
              <w:szCs w:val="24"/>
              <w:highlight w:val="none"/>
            </w:rPr>
            <w:t>13</w:t>
          </w:r>
          <w:r>
            <w:rPr>
              <w:color w:val="auto"/>
              <w:sz w:val="24"/>
              <w:szCs w:val="24"/>
              <w:highlight w:val="none"/>
            </w:rPr>
            <w:fldChar w:fldCharType="end"/>
          </w:r>
          <w:r>
            <w:rPr>
              <w:color w:val="auto"/>
              <w:sz w:val="24"/>
              <w:szCs w:val="24"/>
              <w:highlight w:val="none"/>
            </w:rPr>
            <w:fldChar w:fldCharType="end"/>
          </w:r>
        </w:p>
        <w:p w14:paraId="1C10A9DF">
          <w:pPr>
            <w:pStyle w:val="61"/>
            <w:tabs>
              <w:tab w:val="right" w:leader="dot" w:pos="8548"/>
            </w:tabs>
            <w:ind w:left="480"/>
            <w:rPr>
              <w:color w:val="auto"/>
              <w:sz w:val="24"/>
              <w:szCs w:val="24"/>
              <w:highlight w:val="none"/>
            </w:rPr>
          </w:pPr>
          <w:r>
            <w:rPr>
              <w:color w:val="auto"/>
              <w:highlight w:val="none"/>
            </w:rPr>
            <w:fldChar w:fldCharType="begin"/>
          </w:r>
          <w:r>
            <w:rPr>
              <w:color w:val="auto"/>
              <w:highlight w:val="none"/>
            </w:rPr>
            <w:instrText xml:space="preserve"> HYPERLINK \l "_Toc19745" </w:instrText>
          </w:r>
          <w:r>
            <w:rPr>
              <w:color w:val="auto"/>
              <w:highlight w:val="none"/>
            </w:rPr>
            <w:fldChar w:fldCharType="separate"/>
          </w:r>
          <w:r>
            <w:rPr>
              <w:rFonts w:hint="eastAsia" w:asciiTheme="majorEastAsia" w:hAnsiTheme="majorEastAsia" w:eastAsiaTheme="majorEastAsia" w:cstheme="majorEastAsia"/>
              <w:color w:val="auto"/>
              <w:sz w:val="24"/>
              <w:szCs w:val="24"/>
              <w:highlight w:val="none"/>
            </w:rPr>
            <w:t>9. 需要补充的其他内容</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_Toc19745 \h </w:instrText>
          </w:r>
          <w:r>
            <w:rPr>
              <w:color w:val="auto"/>
              <w:sz w:val="24"/>
              <w:szCs w:val="24"/>
              <w:highlight w:val="none"/>
            </w:rPr>
            <w:fldChar w:fldCharType="separate"/>
          </w:r>
          <w:r>
            <w:rPr>
              <w:color w:val="auto"/>
              <w:sz w:val="24"/>
              <w:szCs w:val="24"/>
              <w:highlight w:val="none"/>
            </w:rPr>
            <w:t>14</w:t>
          </w:r>
          <w:r>
            <w:rPr>
              <w:color w:val="auto"/>
              <w:sz w:val="24"/>
              <w:szCs w:val="24"/>
              <w:highlight w:val="none"/>
            </w:rPr>
            <w:fldChar w:fldCharType="end"/>
          </w:r>
          <w:r>
            <w:rPr>
              <w:color w:val="auto"/>
              <w:sz w:val="24"/>
              <w:szCs w:val="24"/>
              <w:highlight w:val="none"/>
            </w:rPr>
            <w:fldChar w:fldCharType="end"/>
          </w:r>
        </w:p>
        <w:p w14:paraId="3234BC9B">
          <w:pPr>
            <w:pStyle w:val="60"/>
            <w:tabs>
              <w:tab w:val="right" w:leader="dot" w:pos="8548"/>
            </w:tabs>
            <w:rPr>
              <w:b/>
              <w:color w:val="auto"/>
              <w:sz w:val="24"/>
              <w:szCs w:val="24"/>
              <w:highlight w:val="none"/>
            </w:rPr>
          </w:pPr>
          <w:r>
            <w:rPr>
              <w:color w:val="auto"/>
              <w:highlight w:val="none"/>
            </w:rPr>
            <w:fldChar w:fldCharType="begin"/>
          </w:r>
          <w:r>
            <w:rPr>
              <w:color w:val="auto"/>
              <w:highlight w:val="none"/>
            </w:rPr>
            <w:instrText xml:space="preserve"> HYPERLINK \l "_Toc4258" </w:instrText>
          </w:r>
          <w:r>
            <w:rPr>
              <w:color w:val="auto"/>
              <w:highlight w:val="none"/>
            </w:rPr>
            <w:fldChar w:fldCharType="separate"/>
          </w:r>
          <w:r>
            <w:rPr>
              <w:rFonts w:hint="eastAsia" w:asciiTheme="majorEastAsia" w:hAnsiTheme="majorEastAsia" w:eastAsiaTheme="majorEastAsia" w:cstheme="majorEastAsia"/>
              <w:b/>
              <w:color w:val="auto"/>
              <w:sz w:val="24"/>
              <w:szCs w:val="24"/>
              <w:highlight w:val="none"/>
            </w:rPr>
            <w:t>第三章 资格审查及评标办法</w:t>
          </w:r>
          <w:r>
            <w:rPr>
              <w:b/>
              <w:color w:val="auto"/>
              <w:sz w:val="24"/>
              <w:szCs w:val="24"/>
              <w:highlight w:val="none"/>
            </w:rPr>
            <w:tab/>
          </w:r>
          <w:r>
            <w:rPr>
              <w:b/>
              <w:color w:val="auto"/>
              <w:sz w:val="24"/>
              <w:szCs w:val="24"/>
              <w:highlight w:val="none"/>
            </w:rPr>
            <w:fldChar w:fldCharType="begin"/>
          </w:r>
          <w:r>
            <w:rPr>
              <w:b/>
              <w:color w:val="auto"/>
              <w:sz w:val="24"/>
              <w:szCs w:val="24"/>
              <w:highlight w:val="none"/>
            </w:rPr>
            <w:instrText xml:space="preserve"> PAGEREF _Toc4258 \h </w:instrText>
          </w:r>
          <w:r>
            <w:rPr>
              <w:b/>
              <w:color w:val="auto"/>
              <w:sz w:val="24"/>
              <w:szCs w:val="24"/>
              <w:highlight w:val="none"/>
            </w:rPr>
            <w:fldChar w:fldCharType="separate"/>
          </w:r>
          <w:r>
            <w:rPr>
              <w:b/>
              <w:color w:val="auto"/>
              <w:sz w:val="24"/>
              <w:szCs w:val="24"/>
              <w:highlight w:val="none"/>
            </w:rPr>
            <w:t>15</w:t>
          </w:r>
          <w:r>
            <w:rPr>
              <w:b/>
              <w:color w:val="auto"/>
              <w:sz w:val="24"/>
              <w:szCs w:val="24"/>
              <w:highlight w:val="none"/>
            </w:rPr>
            <w:fldChar w:fldCharType="end"/>
          </w:r>
          <w:r>
            <w:rPr>
              <w:b/>
              <w:color w:val="auto"/>
              <w:sz w:val="24"/>
              <w:szCs w:val="24"/>
              <w:highlight w:val="none"/>
            </w:rPr>
            <w:fldChar w:fldCharType="end"/>
          </w:r>
        </w:p>
        <w:p w14:paraId="169EEA5E">
          <w:pPr>
            <w:pStyle w:val="60"/>
            <w:tabs>
              <w:tab w:val="right" w:leader="dot" w:pos="8548"/>
            </w:tabs>
            <w:rPr>
              <w:b/>
              <w:color w:val="auto"/>
              <w:sz w:val="24"/>
              <w:szCs w:val="24"/>
              <w:highlight w:val="none"/>
            </w:rPr>
          </w:pPr>
          <w:r>
            <w:rPr>
              <w:color w:val="auto"/>
              <w:highlight w:val="none"/>
            </w:rPr>
            <w:fldChar w:fldCharType="begin"/>
          </w:r>
          <w:r>
            <w:rPr>
              <w:color w:val="auto"/>
              <w:highlight w:val="none"/>
            </w:rPr>
            <w:instrText xml:space="preserve"> HYPERLINK \l "_Toc7380" </w:instrText>
          </w:r>
          <w:r>
            <w:rPr>
              <w:color w:val="auto"/>
              <w:highlight w:val="none"/>
            </w:rPr>
            <w:fldChar w:fldCharType="separate"/>
          </w:r>
          <w:r>
            <w:rPr>
              <w:rFonts w:hint="eastAsia" w:asciiTheme="majorEastAsia" w:hAnsiTheme="majorEastAsia" w:eastAsiaTheme="majorEastAsia" w:cstheme="majorEastAsia"/>
              <w:b/>
              <w:color w:val="auto"/>
              <w:sz w:val="24"/>
              <w:szCs w:val="24"/>
              <w:highlight w:val="none"/>
            </w:rPr>
            <w:t>第四章 合同条款（仅供参考）</w:t>
          </w:r>
          <w:r>
            <w:rPr>
              <w:b/>
              <w:color w:val="auto"/>
              <w:sz w:val="24"/>
              <w:szCs w:val="24"/>
              <w:highlight w:val="none"/>
            </w:rPr>
            <w:tab/>
          </w:r>
          <w:r>
            <w:rPr>
              <w:b/>
              <w:color w:val="auto"/>
              <w:sz w:val="24"/>
              <w:szCs w:val="24"/>
              <w:highlight w:val="none"/>
            </w:rPr>
            <w:fldChar w:fldCharType="begin"/>
          </w:r>
          <w:r>
            <w:rPr>
              <w:b/>
              <w:color w:val="auto"/>
              <w:sz w:val="24"/>
              <w:szCs w:val="24"/>
              <w:highlight w:val="none"/>
            </w:rPr>
            <w:instrText xml:space="preserve"> PAGEREF _Toc7380 \h </w:instrText>
          </w:r>
          <w:r>
            <w:rPr>
              <w:b/>
              <w:color w:val="auto"/>
              <w:sz w:val="24"/>
              <w:szCs w:val="24"/>
              <w:highlight w:val="none"/>
            </w:rPr>
            <w:fldChar w:fldCharType="separate"/>
          </w:r>
          <w:r>
            <w:rPr>
              <w:b/>
              <w:color w:val="auto"/>
              <w:sz w:val="24"/>
              <w:szCs w:val="24"/>
              <w:highlight w:val="none"/>
            </w:rPr>
            <w:t>22</w:t>
          </w:r>
          <w:r>
            <w:rPr>
              <w:b/>
              <w:color w:val="auto"/>
              <w:sz w:val="24"/>
              <w:szCs w:val="24"/>
              <w:highlight w:val="none"/>
            </w:rPr>
            <w:fldChar w:fldCharType="end"/>
          </w:r>
          <w:r>
            <w:rPr>
              <w:b/>
              <w:color w:val="auto"/>
              <w:sz w:val="24"/>
              <w:szCs w:val="24"/>
              <w:highlight w:val="none"/>
            </w:rPr>
            <w:fldChar w:fldCharType="end"/>
          </w:r>
        </w:p>
        <w:p w14:paraId="28BB1310">
          <w:pPr>
            <w:pStyle w:val="60"/>
            <w:tabs>
              <w:tab w:val="right" w:leader="dot" w:pos="8548"/>
            </w:tabs>
            <w:rPr>
              <w:b/>
              <w:color w:val="auto"/>
              <w:sz w:val="24"/>
              <w:szCs w:val="24"/>
              <w:highlight w:val="none"/>
            </w:rPr>
          </w:pPr>
          <w:r>
            <w:rPr>
              <w:color w:val="auto"/>
              <w:highlight w:val="none"/>
            </w:rPr>
            <w:fldChar w:fldCharType="begin"/>
          </w:r>
          <w:r>
            <w:rPr>
              <w:color w:val="auto"/>
              <w:highlight w:val="none"/>
            </w:rPr>
            <w:instrText xml:space="preserve"> HYPERLINK \l "_Toc25333" </w:instrText>
          </w:r>
          <w:r>
            <w:rPr>
              <w:color w:val="auto"/>
              <w:highlight w:val="none"/>
            </w:rPr>
            <w:fldChar w:fldCharType="separate"/>
          </w:r>
          <w:r>
            <w:rPr>
              <w:b/>
              <w:color w:val="auto"/>
              <w:sz w:val="24"/>
              <w:szCs w:val="24"/>
              <w:highlight w:val="none"/>
            </w:rPr>
            <w:t>第五章 采购需求</w:t>
          </w:r>
          <w:r>
            <w:rPr>
              <w:b/>
              <w:color w:val="auto"/>
              <w:sz w:val="24"/>
              <w:szCs w:val="24"/>
              <w:highlight w:val="none"/>
            </w:rPr>
            <w:tab/>
          </w:r>
          <w:r>
            <w:rPr>
              <w:b/>
              <w:color w:val="auto"/>
              <w:sz w:val="24"/>
              <w:szCs w:val="24"/>
              <w:highlight w:val="none"/>
            </w:rPr>
            <w:fldChar w:fldCharType="begin"/>
          </w:r>
          <w:r>
            <w:rPr>
              <w:b/>
              <w:color w:val="auto"/>
              <w:sz w:val="24"/>
              <w:szCs w:val="24"/>
              <w:highlight w:val="none"/>
            </w:rPr>
            <w:instrText xml:space="preserve"> PAGEREF _Toc25333 \h </w:instrText>
          </w:r>
          <w:r>
            <w:rPr>
              <w:b/>
              <w:color w:val="auto"/>
              <w:sz w:val="24"/>
              <w:szCs w:val="24"/>
              <w:highlight w:val="none"/>
            </w:rPr>
            <w:fldChar w:fldCharType="separate"/>
          </w:r>
          <w:r>
            <w:rPr>
              <w:b/>
              <w:color w:val="auto"/>
              <w:sz w:val="24"/>
              <w:szCs w:val="24"/>
              <w:highlight w:val="none"/>
            </w:rPr>
            <w:t>28</w:t>
          </w:r>
          <w:r>
            <w:rPr>
              <w:b/>
              <w:color w:val="auto"/>
              <w:sz w:val="24"/>
              <w:szCs w:val="24"/>
              <w:highlight w:val="none"/>
            </w:rPr>
            <w:fldChar w:fldCharType="end"/>
          </w:r>
          <w:r>
            <w:rPr>
              <w:b/>
              <w:color w:val="auto"/>
              <w:sz w:val="24"/>
              <w:szCs w:val="24"/>
              <w:highlight w:val="none"/>
            </w:rPr>
            <w:fldChar w:fldCharType="end"/>
          </w:r>
        </w:p>
        <w:p w14:paraId="7AB1447E">
          <w:pPr>
            <w:pStyle w:val="60"/>
            <w:tabs>
              <w:tab w:val="right" w:leader="dot" w:pos="8548"/>
            </w:tabs>
            <w:rPr>
              <w:b/>
              <w:color w:val="auto"/>
              <w:sz w:val="24"/>
              <w:szCs w:val="24"/>
              <w:highlight w:val="none"/>
            </w:rPr>
          </w:pPr>
          <w:r>
            <w:rPr>
              <w:color w:val="auto"/>
              <w:highlight w:val="none"/>
            </w:rPr>
            <w:fldChar w:fldCharType="begin"/>
          </w:r>
          <w:r>
            <w:rPr>
              <w:color w:val="auto"/>
              <w:highlight w:val="none"/>
            </w:rPr>
            <w:instrText xml:space="preserve"> HYPERLINK \l "_Toc19231" </w:instrText>
          </w:r>
          <w:r>
            <w:rPr>
              <w:color w:val="auto"/>
              <w:highlight w:val="none"/>
            </w:rPr>
            <w:fldChar w:fldCharType="separate"/>
          </w:r>
          <w:r>
            <w:rPr>
              <w:b/>
              <w:color w:val="auto"/>
              <w:sz w:val="24"/>
              <w:szCs w:val="24"/>
              <w:highlight w:val="none"/>
            </w:rPr>
            <w:t>第六章 投标文件的编制要求及参考格式</w:t>
          </w:r>
          <w:r>
            <w:rPr>
              <w:b/>
              <w:color w:val="auto"/>
              <w:sz w:val="24"/>
              <w:szCs w:val="24"/>
              <w:highlight w:val="none"/>
            </w:rPr>
            <w:tab/>
          </w:r>
          <w:r>
            <w:rPr>
              <w:b/>
              <w:color w:val="auto"/>
              <w:sz w:val="24"/>
              <w:szCs w:val="24"/>
              <w:highlight w:val="none"/>
            </w:rPr>
            <w:fldChar w:fldCharType="begin"/>
          </w:r>
          <w:r>
            <w:rPr>
              <w:b/>
              <w:color w:val="auto"/>
              <w:sz w:val="24"/>
              <w:szCs w:val="24"/>
              <w:highlight w:val="none"/>
            </w:rPr>
            <w:instrText xml:space="preserve"> PAGEREF _Toc19231 \h </w:instrText>
          </w:r>
          <w:r>
            <w:rPr>
              <w:b/>
              <w:color w:val="auto"/>
              <w:sz w:val="24"/>
              <w:szCs w:val="24"/>
              <w:highlight w:val="none"/>
            </w:rPr>
            <w:fldChar w:fldCharType="separate"/>
          </w:r>
          <w:r>
            <w:rPr>
              <w:b/>
              <w:color w:val="auto"/>
              <w:sz w:val="24"/>
              <w:szCs w:val="24"/>
              <w:highlight w:val="none"/>
            </w:rPr>
            <w:t>36</w:t>
          </w:r>
          <w:r>
            <w:rPr>
              <w:b/>
              <w:color w:val="auto"/>
              <w:sz w:val="24"/>
              <w:szCs w:val="24"/>
              <w:highlight w:val="none"/>
            </w:rPr>
            <w:fldChar w:fldCharType="end"/>
          </w:r>
          <w:r>
            <w:rPr>
              <w:b/>
              <w:color w:val="auto"/>
              <w:sz w:val="24"/>
              <w:szCs w:val="24"/>
              <w:highlight w:val="none"/>
            </w:rPr>
            <w:fldChar w:fldCharType="end"/>
          </w:r>
        </w:p>
        <w:p w14:paraId="53EF353A">
          <w:pPr>
            <w:rPr>
              <w:color w:val="auto"/>
              <w:highlight w:val="none"/>
            </w:rPr>
          </w:pPr>
          <w:r>
            <w:rPr>
              <w:b/>
              <w:color w:val="auto"/>
              <w:highlight w:val="none"/>
            </w:rPr>
            <w:fldChar w:fldCharType="end"/>
          </w:r>
        </w:p>
      </w:sdtContent>
    </w:sdt>
    <w:p w14:paraId="2798FFC6">
      <w:pP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br w:type="page"/>
      </w:r>
    </w:p>
    <w:p w14:paraId="31E45F81">
      <w:pPr>
        <w:pStyle w:val="20"/>
        <w:tabs>
          <w:tab w:val="left" w:pos="3240"/>
        </w:tabs>
        <w:spacing w:line="500" w:lineRule="exact"/>
        <w:ind w:left="0" w:firstLine="0"/>
        <w:jc w:val="center"/>
        <w:outlineLvl w:val="0"/>
        <w:rPr>
          <w:rFonts w:hint="eastAsia" w:asciiTheme="majorEastAsia" w:hAnsiTheme="majorEastAsia" w:eastAsiaTheme="majorEastAsia" w:cstheme="majorEastAsia"/>
          <w:b/>
          <w:color w:val="auto"/>
          <w:highlight w:val="none"/>
        </w:rPr>
      </w:pPr>
      <w:bookmarkStart w:id="12" w:name="_Toc24611"/>
      <w:r>
        <w:rPr>
          <w:rFonts w:hint="eastAsia" w:asciiTheme="majorEastAsia" w:hAnsiTheme="majorEastAsia" w:eastAsiaTheme="majorEastAsia" w:cstheme="majorEastAsia"/>
          <w:b/>
          <w:color w:val="auto"/>
          <w:highlight w:val="none"/>
        </w:rPr>
        <w:t xml:space="preserve">第一章 </w:t>
      </w:r>
      <w:bookmarkEnd w:id="0"/>
      <w:bookmarkEnd w:id="1"/>
      <w:bookmarkEnd w:id="2"/>
      <w:bookmarkEnd w:id="3"/>
      <w:bookmarkEnd w:id="4"/>
      <w:bookmarkEnd w:id="5"/>
      <w:bookmarkEnd w:id="6"/>
      <w:bookmarkEnd w:id="7"/>
      <w:bookmarkEnd w:id="8"/>
      <w:bookmarkEnd w:id="9"/>
      <w:r>
        <w:rPr>
          <w:rFonts w:hint="eastAsia" w:asciiTheme="majorEastAsia" w:hAnsiTheme="majorEastAsia" w:eastAsiaTheme="majorEastAsia" w:cstheme="majorEastAsia"/>
          <w:b/>
          <w:color w:val="auto"/>
          <w:highlight w:val="none"/>
        </w:rPr>
        <w:t>招标公告</w:t>
      </w:r>
      <w:bookmarkEnd w:id="12"/>
    </w:p>
    <w:p w14:paraId="2D5670E7">
      <w:pPr>
        <w:pBdr>
          <w:top w:val="single" w:color="auto" w:sz="4" w:space="1"/>
          <w:left w:val="single" w:color="auto" w:sz="4" w:space="4"/>
          <w:bottom w:val="single" w:color="auto" w:sz="4" w:space="1"/>
          <w:right w:val="single" w:color="auto" w:sz="4" w:space="4"/>
        </w:pBdr>
        <w:spacing w:line="460" w:lineRule="exact"/>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rPr>
        <w:t>项目概况</w:t>
      </w:r>
    </w:p>
    <w:p w14:paraId="57E09872">
      <w:pPr>
        <w:pBdr>
          <w:top w:val="single" w:color="auto" w:sz="4" w:space="1"/>
          <w:left w:val="single" w:color="auto" w:sz="4" w:space="4"/>
          <w:bottom w:val="single" w:color="auto" w:sz="4" w:space="1"/>
          <w:right w:val="single" w:color="auto" w:sz="4" w:space="4"/>
        </w:pBdr>
        <w:spacing w:line="460" w:lineRule="exact"/>
        <w:ind w:firstLine="480" w:firstLineChars="200"/>
        <w:rPr>
          <w:rFonts w:hint="eastAsia" w:asciiTheme="majorEastAsia" w:hAnsiTheme="majorEastAsia" w:eastAsiaTheme="majorEastAsia" w:cstheme="majorEastAsia"/>
          <w:color w:val="auto"/>
          <w:kern w:val="2"/>
          <w:highlight w:val="none"/>
        </w:rPr>
      </w:pPr>
      <w:r>
        <w:rPr>
          <w:rFonts w:hint="eastAsia" w:asciiTheme="majorEastAsia" w:hAnsiTheme="majorEastAsia" w:eastAsiaTheme="majorEastAsia" w:cstheme="majorEastAsia"/>
          <w:color w:val="auto"/>
          <w:kern w:val="2"/>
          <w:highlight w:val="none"/>
          <w:u w:val="single"/>
        </w:rPr>
        <w:t xml:space="preserve">  </w:t>
      </w:r>
      <w:r>
        <w:rPr>
          <w:rFonts w:hint="eastAsia" w:asciiTheme="majorEastAsia" w:hAnsiTheme="majorEastAsia" w:eastAsiaTheme="majorEastAsia" w:cstheme="majorEastAsia"/>
          <w:color w:val="auto"/>
          <w:kern w:val="2"/>
          <w:highlight w:val="none"/>
          <w:u w:val="single"/>
          <w:lang w:eastAsia="zh-CN"/>
        </w:rPr>
        <w:t>泰兴市第二人民医院卒中胸痛信息系统采购</w:t>
      </w:r>
      <w:r>
        <w:rPr>
          <w:rFonts w:hint="eastAsia" w:asciiTheme="majorEastAsia" w:hAnsiTheme="majorEastAsia" w:eastAsiaTheme="majorEastAsia" w:cstheme="majorEastAsia"/>
          <w:color w:val="auto"/>
          <w:kern w:val="2"/>
          <w:highlight w:val="none"/>
          <w:u w:val="single"/>
          <w:lang w:val="en-US" w:eastAsia="zh-CN"/>
        </w:rPr>
        <w:t>项目</w:t>
      </w:r>
      <w:r>
        <w:rPr>
          <w:rFonts w:hint="eastAsia" w:asciiTheme="majorEastAsia" w:hAnsiTheme="majorEastAsia" w:eastAsiaTheme="majorEastAsia" w:cstheme="majorEastAsia"/>
          <w:color w:val="auto"/>
          <w:kern w:val="2"/>
          <w:highlight w:val="none"/>
          <w:u w:val="single"/>
        </w:rPr>
        <w:t xml:space="preserve"> </w:t>
      </w:r>
      <w:r>
        <w:rPr>
          <w:rFonts w:hint="eastAsia" w:asciiTheme="majorEastAsia" w:hAnsiTheme="majorEastAsia" w:eastAsiaTheme="majorEastAsia" w:cstheme="majorEastAsia"/>
          <w:color w:val="auto"/>
          <w:kern w:val="2"/>
          <w:highlight w:val="none"/>
        </w:rPr>
        <w:t>的潜在供应商应在</w:t>
      </w:r>
      <w:r>
        <w:rPr>
          <w:rFonts w:hint="eastAsia" w:asciiTheme="majorEastAsia" w:hAnsiTheme="majorEastAsia" w:eastAsiaTheme="majorEastAsia" w:cstheme="majorEastAsia"/>
          <w:color w:val="auto"/>
          <w:kern w:val="2"/>
          <w:sz w:val="24"/>
          <w:szCs w:val="24"/>
          <w:highlight w:val="none"/>
          <w:u w:val="single"/>
        </w:rPr>
        <w:t>“江苏政府采购网”获取招标文件</w:t>
      </w:r>
      <w:r>
        <w:rPr>
          <w:rFonts w:hint="eastAsia" w:asciiTheme="majorEastAsia" w:hAnsiTheme="majorEastAsia" w:eastAsiaTheme="majorEastAsia" w:cstheme="majorEastAsia"/>
          <w:color w:val="auto"/>
          <w:kern w:val="2"/>
          <w:highlight w:val="none"/>
        </w:rPr>
        <w:t>，并于</w:t>
      </w:r>
      <w:r>
        <w:rPr>
          <w:rFonts w:hint="eastAsia" w:asciiTheme="majorEastAsia" w:hAnsiTheme="majorEastAsia" w:eastAsiaTheme="majorEastAsia" w:cstheme="majorEastAsia"/>
          <w:color w:val="auto"/>
          <w:kern w:val="2"/>
          <w:highlight w:val="none"/>
          <w:u w:val="single"/>
        </w:rPr>
        <w:t>202</w:t>
      </w:r>
      <w:r>
        <w:rPr>
          <w:rFonts w:hint="eastAsia" w:asciiTheme="majorEastAsia" w:hAnsiTheme="majorEastAsia" w:eastAsiaTheme="majorEastAsia" w:cstheme="majorEastAsia"/>
          <w:color w:val="auto"/>
          <w:kern w:val="2"/>
          <w:highlight w:val="none"/>
          <w:u w:val="single"/>
          <w:lang w:val="en-US" w:eastAsia="zh-CN"/>
        </w:rPr>
        <w:t>5</w:t>
      </w:r>
      <w:r>
        <w:rPr>
          <w:rFonts w:hint="eastAsia" w:asciiTheme="majorEastAsia" w:hAnsiTheme="majorEastAsia" w:eastAsiaTheme="majorEastAsia" w:cstheme="majorEastAsia"/>
          <w:bCs/>
          <w:color w:val="auto"/>
          <w:kern w:val="2"/>
          <w:highlight w:val="none"/>
          <w:u w:val="single"/>
        </w:rPr>
        <w:t>年</w:t>
      </w:r>
      <w:r>
        <w:rPr>
          <w:rFonts w:hint="eastAsia" w:asciiTheme="majorEastAsia" w:hAnsiTheme="majorEastAsia" w:eastAsiaTheme="majorEastAsia" w:cstheme="majorEastAsia"/>
          <w:bCs/>
          <w:color w:val="auto"/>
          <w:kern w:val="2"/>
          <w:highlight w:val="none"/>
          <w:u w:val="single"/>
          <w:lang w:val="en-US" w:eastAsia="zh-CN"/>
        </w:rPr>
        <w:t>11</w:t>
      </w:r>
      <w:r>
        <w:rPr>
          <w:rFonts w:hint="eastAsia" w:asciiTheme="majorEastAsia" w:hAnsiTheme="majorEastAsia" w:eastAsiaTheme="majorEastAsia" w:cstheme="majorEastAsia"/>
          <w:bCs/>
          <w:color w:val="auto"/>
          <w:kern w:val="2"/>
          <w:highlight w:val="none"/>
          <w:u w:val="single"/>
        </w:rPr>
        <w:t>月</w:t>
      </w:r>
      <w:r>
        <w:rPr>
          <w:rFonts w:hint="eastAsia" w:asciiTheme="majorEastAsia" w:hAnsiTheme="majorEastAsia" w:eastAsiaTheme="majorEastAsia" w:cstheme="majorEastAsia"/>
          <w:bCs/>
          <w:color w:val="auto"/>
          <w:kern w:val="2"/>
          <w:highlight w:val="none"/>
          <w:u w:val="single"/>
          <w:lang w:val="en-US" w:eastAsia="zh-CN"/>
        </w:rPr>
        <w:t>13</w:t>
      </w:r>
      <w:r>
        <w:rPr>
          <w:rFonts w:hint="eastAsia" w:asciiTheme="majorEastAsia" w:hAnsiTheme="majorEastAsia" w:eastAsiaTheme="majorEastAsia" w:cstheme="majorEastAsia"/>
          <w:bCs/>
          <w:color w:val="auto"/>
          <w:kern w:val="2"/>
          <w:highlight w:val="none"/>
          <w:u w:val="single"/>
        </w:rPr>
        <w:t>日</w:t>
      </w:r>
      <w:r>
        <w:rPr>
          <w:rFonts w:hint="eastAsia" w:asciiTheme="majorEastAsia" w:hAnsiTheme="majorEastAsia" w:eastAsiaTheme="majorEastAsia" w:cstheme="majorEastAsia"/>
          <w:bCs/>
          <w:color w:val="auto"/>
          <w:kern w:val="2"/>
          <w:highlight w:val="none"/>
          <w:u w:val="single"/>
          <w:lang w:val="en-US" w:eastAsia="zh-CN"/>
        </w:rPr>
        <w:t>9</w:t>
      </w:r>
      <w:r>
        <w:rPr>
          <w:rFonts w:hint="eastAsia" w:asciiTheme="majorEastAsia" w:hAnsiTheme="majorEastAsia" w:eastAsiaTheme="majorEastAsia" w:cstheme="majorEastAsia"/>
          <w:bCs/>
          <w:color w:val="auto"/>
          <w:kern w:val="2"/>
          <w:highlight w:val="none"/>
          <w:u w:val="single"/>
        </w:rPr>
        <w:t>点</w:t>
      </w:r>
      <w:r>
        <w:rPr>
          <w:rFonts w:hint="eastAsia" w:asciiTheme="majorEastAsia" w:hAnsiTheme="majorEastAsia" w:eastAsiaTheme="majorEastAsia" w:cstheme="majorEastAsia"/>
          <w:bCs/>
          <w:color w:val="auto"/>
          <w:kern w:val="2"/>
          <w:highlight w:val="none"/>
          <w:u w:val="single"/>
          <w:lang w:val="en-US" w:eastAsia="zh-CN"/>
        </w:rPr>
        <w:t>00</w:t>
      </w:r>
      <w:r>
        <w:rPr>
          <w:rFonts w:hint="eastAsia" w:asciiTheme="majorEastAsia" w:hAnsiTheme="majorEastAsia" w:eastAsiaTheme="majorEastAsia" w:cstheme="majorEastAsia"/>
          <w:bCs/>
          <w:color w:val="auto"/>
          <w:kern w:val="2"/>
          <w:highlight w:val="none"/>
          <w:u w:val="single"/>
        </w:rPr>
        <w:t>分（</w:t>
      </w:r>
      <w:r>
        <w:rPr>
          <w:rFonts w:hint="eastAsia" w:asciiTheme="majorEastAsia" w:hAnsiTheme="majorEastAsia" w:eastAsiaTheme="majorEastAsia" w:cstheme="majorEastAsia"/>
          <w:bCs/>
          <w:color w:val="auto"/>
          <w:kern w:val="2"/>
          <w:highlight w:val="none"/>
        </w:rPr>
        <w:t>北京时间）前递交投标文件</w:t>
      </w:r>
      <w:r>
        <w:rPr>
          <w:rFonts w:hint="eastAsia" w:asciiTheme="majorEastAsia" w:hAnsiTheme="majorEastAsia" w:eastAsiaTheme="majorEastAsia" w:cstheme="majorEastAsia"/>
          <w:color w:val="auto"/>
          <w:kern w:val="2"/>
          <w:highlight w:val="none"/>
        </w:rPr>
        <w:t>。</w:t>
      </w:r>
      <w:bookmarkStart w:id="13" w:name="_Toc28359079"/>
      <w:bookmarkStart w:id="14" w:name="_Toc28359002"/>
      <w:bookmarkStart w:id="15" w:name="_Toc35393790"/>
      <w:bookmarkStart w:id="16" w:name="_Toc35393621"/>
      <w:bookmarkStart w:id="17" w:name="_Hlk24379207"/>
    </w:p>
    <w:p w14:paraId="234633DA">
      <w:pPr>
        <w:spacing w:line="460" w:lineRule="exact"/>
        <w:ind w:firstLine="482" w:firstLineChars="200"/>
        <w:outlineLvl w:val="1"/>
        <w:rPr>
          <w:rFonts w:hint="eastAsia" w:asciiTheme="majorEastAsia" w:hAnsiTheme="majorEastAsia" w:eastAsiaTheme="majorEastAsia" w:cstheme="majorEastAsia"/>
          <w:b/>
          <w:color w:val="auto"/>
          <w:highlight w:val="none"/>
        </w:rPr>
      </w:pPr>
      <w:bookmarkStart w:id="18" w:name="_Toc8644"/>
      <w:r>
        <w:rPr>
          <w:rFonts w:hint="eastAsia" w:asciiTheme="majorEastAsia" w:hAnsiTheme="majorEastAsia" w:eastAsiaTheme="majorEastAsia" w:cstheme="majorEastAsia"/>
          <w:b/>
          <w:color w:val="auto"/>
          <w:highlight w:val="none"/>
        </w:rPr>
        <w:t>一、项目基本情况</w:t>
      </w:r>
      <w:bookmarkEnd w:id="13"/>
      <w:bookmarkEnd w:id="14"/>
      <w:bookmarkEnd w:id="15"/>
      <w:bookmarkEnd w:id="16"/>
      <w:bookmarkEnd w:id="18"/>
    </w:p>
    <w:p w14:paraId="37D64B3C">
      <w:pPr>
        <w:spacing w:line="460" w:lineRule="exact"/>
        <w:ind w:firstLine="480" w:firstLineChars="200"/>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1.项目编号：</w:t>
      </w:r>
      <w:r>
        <w:rPr>
          <w:rFonts w:hint="eastAsia" w:asciiTheme="majorEastAsia" w:hAnsiTheme="majorEastAsia" w:eastAsiaTheme="majorEastAsia" w:cstheme="majorEastAsia"/>
          <w:color w:val="auto"/>
          <w:highlight w:val="none"/>
          <w:lang w:eastAsia="zh-CN"/>
        </w:rPr>
        <w:t>JSZC-321283-GXGL-G2025-0046</w:t>
      </w:r>
    </w:p>
    <w:p w14:paraId="2F0C8C10">
      <w:pPr>
        <w:spacing w:line="460" w:lineRule="exact"/>
        <w:ind w:firstLine="480" w:firstLineChars="200"/>
        <w:rPr>
          <w:rFonts w:hint="default" w:asciiTheme="majorEastAsia" w:hAnsiTheme="majorEastAsia" w:eastAsiaTheme="majorEastAsia" w:cstheme="majorEastAsia"/>
          <w:color w:val="auto"/>
          <w:kern w:val="2"/>
          <w:highlight w:val="none"/>
          <w:lang w:val="en-US" w:eastAsia="zh-CN"/>
        </w:rPr>
      </w:pPr>
      <w:r>
        <w:rPr>
          <w:rFonts w:hint="eastAsia" w:asciiTheme="majorEastAsia" w:hAnsiTheme="majorEastAsia" w:eastAsiaTheme="majorEastAsia" w:cstheme="majorEastAsia"/>
          <w:color w:val="auto"/>
          <w:highlight w:val="none"/>
        </w:rPr>
        <w:t>2.项目名称：</w:t>
      </w:r>
      <w:bookmarkEnd w:id="17"/>
      <w:r>
        <w:rPr>
          <w:rFonts w:hint="eastAsia" w:asciiTheme="majorEastAsia" w:hAnsiTheme="majorEastAsia" w:eastAsiaTheme="majorEastAsia" w:cstheme="majorEastAsia"/>
          <w:color w:val="auto"/>
          <w:highlight w:val="none"/>
          <w:lang w:eastAsia="zh-CN"/>
        </w:rPr>
        <w:t>泰兴市第二人民医院卒中胸痛信息系统采购</w:t>
      </w:r>
      <w:r>
        <w:rPr>
          <w:rFonts w:hint="eastAsia" w:asciiTheme="majorEastAsia" w:hAnsiTheme="majorEastAsia" w:eastAsiaTheme="majorEastAsia" w:cstheme="majorEastAsia"/>
          <w:color w:val="auto"/>
          <w:highlight w:val="none"/>
          <w:lang w:val="en-US" w:eastAsia="zh-CN"/>
        </w:rPr>
        <w:t>项目</w:t>
      </w:r>
    </w:p>
    <w:p w14:paraId="2F96979D">
      <w:pPr>
        <w:spacing w:line="46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3.采购方式：</w:t>
      </w:r>
      <w:r>
        <w:rPr>
          <w:rFonts w:hint="eastAsia" w:asciiTheme="majorEastAsia" w:hAnsiTheme="majorEastAsia" w:eastAsiaTheme="majorEastAsia" w:cstheme="majorEastAsia"/>
          <w:color w:val="auto"/>
          <w:highlight w:val="none"/>
          <w:lang w:val="en-US" w:eastAsia="zh-CN"/>
        </w:rPr>
        <w:t>公开招标</w:t>
      </w:r>
      <w:r>
        <w:rPr>
          <w:rFonts w:hint="eastAsia" w:asciiTheme="majorEastAsia" w:hAnsiTheme="majorEastAsia" w:eastAsiaTheme="majorEastAsia" w:cstheme="majorEastAsia"/>
          <w:color w:val="auto"/>
          <w:highlight w:val="none"/>
        </w:rPr>
        <w:t xml:space="preserve"> </w:t>
      </w:r>
    </w:p>
    <w:p w14:paraId="7F2E4018">
      <w:pPr>
        <w:spacing w:line="460" w:lineRule="exact"/>
        <w:ind w:firstLine="480" w:firstLineChars="200"/>
        <w:rPr>
          <w:rFonts w:hint="eastAsia" w:asciiTheme="majorEastAsia" w:hAnsiTheme="majorEastAsia" w:eastAsiaTheme="majorEastAsia" w:cstheme="majorEastAsia"/>
          <w:color w:val="auto"/>
          <w:highlight w:val="none"/>
          <w:lang w:val="en-US" w:eastAsia="zh-CN"/>
        </w:rPr>
      </w:pPr>
      <w:bookmarkStart w:id="19" w:name="_Toc28359080"/>
      <w:bookmarkStart w:id="20" w:name="_Toc35393622"/>
      <w:bookmarkStart w:id="21" w:name="_Toc28359003"/>
      <w:bookmarkStart w:id="22" w:name="_Toc35393791"/>
      <w:r>
        <w:rPr>
          <w:rFonts w:hint="eastAsia" w:asciiTheme="majorEastAsia" w:hAnsiTheme="majorEastAsia" w:eastAsiaTheme="majorEastAsia" w:cstheme="majorEastAsia"/>
          <w:color w:val="auto"/>
          <w:highlight w:val="none"/>
        </w:rPr>
        <w:t>4.预算金额：</w:t>
      </w:r>
      <w:r>
        <w:rPr>
          <w:rFonts w:hint="eastAsia" w:asciiTheme="majorEastAsia" w:hAnsiTheme="majorEastAsia" w:eastAsiaTheme="majorEastAsia" w:cstheme="majorEastAsia"/>
          <w:color w:val="auto"/>
          <w:highlight w:val="none"/>
          <w:lang w:val="en-US" w:eastAsia="zh-CN"/>
        </w:rPr>
        <w:t>50万元</w:t>
      </w:r>
    </w:p>
    <w:p w14:paraId="20D5F8EB">
      <w:pPr>
        <w:spacing w:line="460" w:lineRule="exact"/>
        <w:ind w:firstLine="480" w:firstLineChars="200"/>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5.最高限价：</w:t>
      </w:r>
      <w:r>
        <w:rPr>
          <w:rFonts w:hint="eastAsia" w:asciiTheme="majorEastAsia" w:hAnsiTheme="majorEastAsia" w:eastAsiaTheme="majorEastAsia" w:cstheme="majorEastAsia"/>
          <w:color w:val="auto"/>
          <w:highlight w:val="none"/>
          <w:lang w:val="en-US" w:eastAsia="zh-CN"/>
        </w:rPr>
        <w:t>50万元</w:t>
      </w:r>
    </w:p>
    <w:p w14:paraId="591A8F1D">
      <w:pPr>
        <w:spacing w:line="460" w:lineRule="exact"/>
        <w:ind w:firstLine="480" w:firstLineChars="200"/>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6.资</w:t>
      </w:r>
      <w:r>
        <w:rPr>
          <w:rFonts w:hint="eastAsia" w:asciiTheme="majorEastAsia" w:hAnsiTheme="majorEastAsia" w:eastAsiaTheme="majorEastAsia" w:cstheme="majorEastAsia"/>
          <w:color w:val="auto"/>
          <w:highlight w:val="none"/>
        </w:rPr>
        <w:t>金来源：</w:t>
      </w:r>
      <w:r>
        <w:rPr>
          <w:rFonts w:hint="eastAsia" w:asciiTheme="majorEastAsia" w:hAnsiTheme="majorEastAsia" w:eastAsiaTheme="majorEastAsia" w:cstheme="majorEastAsia"/>
          <w:color w:val="auto"/>
          <w:highlight w:val="none"/>
          <w:lang w:val="en-US" w:eastAsia="zh-CN"/>
        </w:rPr>
        <w:t>自筹资金</w:t>
      </w:r>
    </w:p>
    <w:p w14:paraId="1B21BAC0">
      <w:pPr>
        <w:spacing w:line="460" w:lineRule="exact"/>
        <w:ind w:firstLine="480" w:firstLineChars="200"/>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7.采购需求：采购卒中胸痛信息系统一套。具体要求详见招标文件。</w:t>
      </w:r>
    </w:p>
    <w:p w14:paraId="1B91537A">
      <w:pPr>
        <w:spacing w:line="460" w:lineRule="exact"/>
        <w:ind w:firstLine="480" w:firstLineChars="200"/>
        <w:rPr>
          <w:rFonts w:hint="eastAsia" w:ascii="宋体" w:hAnsi="宋体" w:cs="宋体"/>
          <w:b w:val="0"/>
          <w:bCs w:val="0"/>
          <w:color w:val="auto"/>
          <w:szCs w:val="21"/>
          <w:highlight w:val="none"/>
          <w:lang w:val="zh-CN"/>
        </w:rPr>
      </w:pPr>
      <w:r>
        <w:rPr>
          <w:rFonts w:hint="eastAsia" w:cs="宋体"/>
          <w:b w:val="0"/>
          <w:bCs w:val="0"/>
          <w:color w:val="auto"/>
          <w:highlight w:val="none"/>
          <w:lang w:val="en-US" w:eastAsia="zh-CN"/>
        </w:rPr>
        <w:t>8. 服务期限</w:t>
      </w:r>
      <w:r>
        <w:rPr>
          <w:rFonts w:hint="eastAsia" w:asciiTheme="majorEastAsia" w:hAnsiTheme="majorEastAsia" w:eastAsiaTheme="majorEastAsia" w:cstheme="majorEastAsia"/>
          <w:color w:val="auto"/>
          <w:highlight w:val="none"/>
          <w:lang w:val="en-US" w:eastAsia="zh-CN"/>
        </w:rPr>
        <w:t>：2025年12月31日之前完</w:t>
      </w:r>
      <w:bookmarkStart w:id="23" w:name="OLE_LINK11"/>
      <w:r>
        <w:rPr>
          <w:rFonts w:hint="eastAsia" w:asciiTheme="majorEastAsia" w:hAnsiTheme="majorEastAsia" w:eastAsiaTheme="majorEastAsia" w:cstheme="majorEastAsia"/>
          <w:color w:val="auto"/>
          <w:highlight w:val="none"/>
          <w:lang w:val="en-US" w:eastAsia="zh-CN"/>
        </w:rPr>
        <w:t>成供货、安</w:t>
      </w:r>
      <w:bookmarkEnd w:id="23"/>
      <w:r>
        <w:rPr>
          <w:rFonts w:hint="eastAsia" w:asciiTheme="majorEastAsia" w:hAnsiTheme="majorEastAsia" w:eastAsiaTheme="majorEastAsia" w:cstheme="majorEastAsia"/>
          <w:color w:val="auto"/>
          <w:highlight w:val="none"/>
          <w:lang w:val="en-US" w:eastAsia="zh-CN"/>
        </w:rPr>
        <w:t>装、调试、交付使用</w:t>
      </w:r>
      <w:r>
        <w:rPr>
          <w:rFonts w:hint="eastAsia" w:ascii="宋体" w:hAnsi="宋体" w:cs="宋体"/>
          <w:b w:val="0"/>
          <w:bCs w:val="0"/>
          <w:color w:val="auto"/>
          <w:szCs w:val="21"/>
          <w:highlight w:val="none"/>
          <w:lang w:val="zh-CN"/>
        </w:rPr>
        <w:t>。</w:t>
      </w:r>
    </w:p>
    <w:p w14:paraId="217EF3AE">
      <w:pPr>
        <w:spacing w:line="460" w:lineRule="exact"/>
        <w:ind w:firstLine="480" w:firstLineChars="200"/>
        <w:rPr>
          <w:rFonts w:hint="eastAsia" w:ascii="宋体" w:hAnsi="宋体" w:eastAsia="宋体" w:cs="宋体"/>
          <w:color w:val="auto"/>
          <w:sz w:val="24"/>
          <w:szCs w:val="24"/>
          <w:highlight w:val="none"/>
          <w:lang w:val="en-US" w:eastAsia="zh-CN"/>
        </w:rPr>
      </w:pPr>
      <w:r>
        <w:rPr>
          <w:rFonts w:hint="eastAsia" w:asciiTheme="majorEastAsia" w:hAnsiTheme="majorEastAsia" w:eastAsiaTheme="majorEastAsia" w:cstheme="majorEastAsia"/>
          <w:color w:val="auto"/>
          <w:highlight w:val="none"/>
          <w:lang w:val="en-US" w:eastAsia="zh-CN"/>
        </w:rPr>
        <w:t>9</w:t>
      </w:r>
      <w:r>
        <w:rPr>
          <w:rFonts w:hint="eastAsia" w:asciiTheme="majorEastAsia" w:hAnsiTheme="majorEastAsia" w:eastAsiaTheme="majorEastAsia" w:cstheme="majorEastAsia"/>
          <w:color w:val="auto"/>
          <w:highlight w:val="none"/>
        </w:rPr>
        <w:t>.本项目（是/否）接受联合体投标：否。</w:t>
      </w:r>
    </w:p>
    <w:p w14:paraId="75AE1371">
      <w:pPr>
        <w:spacing w:line="460" w:lineRule="exact"/>
        <w:ind w:firstLine="482" w:firstLineChars="200"/>
        <w:outlineLvl w:val="1"/>
        <w:rPr>
          <w:rFonts w:hint="eastAsia" w:asciiTheme="majorEastAsia" w:hAnsiTheme="majorEastAsia" w:eastAsiaTheme="majorEastAsia" w:cstheme="majorEastAsia"/>
          <w:b/>
          <w:color w:val="auto"/>
          <w:highlight w:val="none"/>
        </w:rPr>
      </w:pPr>
      <w:bookmarkStart w:id="24" w:name="_Toc24495"/>
      <w:r>
        <w:rPr>
          <w:rFonts w:hint="eastAsia" w:asciiTheme="majorEastAsia" w:hAnsiTheme="majorEastAsia" w:eastAsiaTheme="majorEastAsia" w:cstheme="majorEastAsia"/>
          <w:b/>
          <w:color w:val="auto"/>
          <w:highlight w:val="none"/>
        </w:rPr>
        <w:t>二、申请人的资格要求：</w:t>
      </w:r>
      <w:bookmarkEnd w:id="19"/>
      <w:bookmarkEnd w:id="20"/>
      <w:bookmarkEnd w:id="21"/>
      <w:bookmarkEnd w:id="22"/>
      <w:bookmarkEnd w:id="24"/>
    </w:p>
    <w:p w14:paraId="01B2D384">
      <w:pPr>
        <w:spacing w:line="460" w:lineRule="exact"/>
        <w:ind w:firstLine="480" w:firstLineChars="200"/>
        <w:rPr>
          <w:rFonts w:hint="eastAsia" w:asciiTheme="majorEastAsia" w:hAnsiTheme="majorEastAsia" w:eastAsiaTheme="majorEastAsia" w:cstheme="majorEastAsia"/>
          <w:color w:val="auto"/>
          <w:highlight w:val="none"/>
        </w:rPr>
      </w:pPr>
      <w:bookmarkStart w:id="25" w:name="_Toc28359008"/>
      <w:bookmarkStart w:id="26" w:name="_Toc35393627"/>
      <w:bookmarkStart w:id="27" w:name="_Toc18289"/>
      <w:bookmarkStart w:id="28" w:name="_Toc28359085"/>
      <w:bookmarkStart w:id="29" w:name="_Toc35393796"/>
      <w:r>
        <w:rPr>
          <w:rFonts w:hint="eastAsia" w:asciiTheme="majorEastAsia" w:hAnsiTheme="majorEastAsia" w:eastAsiaTheme="majorEastAsia" w:cstheme="majorEastAsia"/>
          <w:color w:val="auto"/>
          <w:highlight w:val="none"/>
        </w:rPr>
        <w:t>（一）满足《中华人民共和国政府采购法》第二十二条规定：</w:t>
      </w:r>
    </w:p>
    <w:p w14:paraId="10E0073F">
      <w:pPr>
        <w:spacing w:line="46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基本资格条件的承诺（根据供应商提供的承诺函，内容完整且具有法人及法定代表人的印章）。</w:t>
      </w:r>
    </w:p>
    <w:p w14:paraId="61C3F3B4">
      <w:pPr>
        <w:spacing w:line="46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(二)</w:t>
      </w:r>
      <w:r>
        <w:rPr>
          <w:rFonts w:hint="eastAsia" w:asciiTheme="majorEastAsia" w:hAnsiTheme="majorEastAsia" w:eastAsiaTheme="majorEastAsia" w:cstheme="majorEastAsia"/>
          <w:color w:val="auto"/>
          <w:highlight w:val="none"/>
        </w:rPr>
        <w:t>落实政府采购政策需满足的资格要求：本项目为</w:t>
      </w:r>
      <w:r>
        <w:rPr>
          <w:rFonts w:hint="eastAsia" w:asciiTheme="majorEastAsia" w:hAnsiTheme="majorEastAsia" w:eastAsiaTheme="majorEastAsia" w:cstheme="majorEastAsia"/>
          <w:color w:val="auto"/>
          <w:highlight w:val="none"/>
          <w:lang w:eastAsia="zh-CN"/>
        </w:rPr>
        <w:t>专门面向</w:t>
      </w:r>
      <w:r>
        <w:rPr>
          <w:rFonts w:hint="eastAsia" w:asciiTheme="majorEastAsia" w:hAnsiTheme="majorEastAsia" w:eastAsiaTheme="majorEastAsia" w:cstheme="majorEastAsia"/>
          <w:color w:val="auto"/>
          <w:highlight w:val="none"/>
        </w:rPr>
        <w:t>中小企业的项目。</w:t>
      </w:r>
    </w:p>
    <w:p w14:paraId="7D90EFCE">
      <w:pPr>
        <w:spacing w:line="460" w:lineRule="exact"/>
        <w:ind w:firstLine="480" w:firstLineChars="200"/>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（三）本项目的特定资格要求：</w:t>
      </w:r>
      <w:r>
        <w:rPr>
          <w:rFonts w:hint="eastAsia" w:asciiTheme="majorEastAsia" w:hAnsiTheme="majorEastAsia" w:eastAsiaTheme="majorEastAsia" w:cstheme="majorEastAsia"/>
          <w:color w:val="auto"/>
          <w:highlight w:val="none"/>
          <w:lang w:val="en-US" w:eastAsia="zh-CN"/>
        </w:rPr>
        <w:t>无</w:t>
      </w:r>
      <w:r>
        <w:rPr>
          <w:rFonts w:hint="eastAsia" w:asciiTheme="majorEastAsia" w:hAnsiTheme="majorEastAsia" w:eastAsiaTheme="majorEastAsia" w:cstheme="majorEastAsia"/>
          <w:color w:val="auto"/>
          <w:highlight w:val="none"/>
          <w:lang w:eastAsia="zh-CN"/>
        </w:rPr>
        <w:t>。</w:t>
      </w:r>
    </w:p>
    <w:p w14:paraId="5AF7E4CB">
      <w:pPr>
        <w:spacing w:line="460" w:lineRule="exact"/>
        <w:ind w:firstLine="482" w:firstLineChars="200"/>
        <w:outlineLvl w:val="1"/>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三、获取招标文件</w:t>
      </w:r>
    </w:p>
    <w:p w14:paraId="3FE45224">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1.获取时间：202</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年</w:t>
      </w:r>
      <w:r>
        <w:rPr>
          <w:rFonts w:hint="eastAsia" w:asciiTheme="majorEastAsia" w:hAnsiTheme="majorEastAsia" w:eastAsiaTheme="majorEastAsia" w:cstheme="majorEastAsia"/>
          <w:color w:val="auto"/>
          <w:sz w:val="24"/>
          <w:szCs w:val="24"/>
          <w:highlight w:val="none"/>
          <w:lang w:val="en-US" w:eastAsia="zh-CN"/>
        </w:rPr>
        <w:t>10</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lang w:val="en-US" w:eastAsia="zh-CN"/>
        </w:rPr>
        <w:t>24</w:t>
      </w:r>
      <w:r>
        <w:rPr>
          <w:rFonts w:hint="eastAsia" w:asciiTheme="majorEastAsia" w:hAnsiTheme="majorEastAsia" w:eastAsiaTheme="majorEastAsia" w:cstheme="majorEastAsia"/>
          <w:color w:val="auto"/>
          <w:sz w:val="24"/>
          <w:szCs w:val="24"/>
          <w:highlight w:val="none"/>
        </w:rPr>
        <w:t>日</w:t>
      </w:r>
      <w:r>
        <w:rPr>
          <w:rFonts w:hint="eastAsia" w:asciiTheme="majorEastAsia" w:hAnsiTheme="majorEastAsia" w:eastAsiaTheme="majorEastAsia" w:cstheme="majorEastAsia"/>
          <w:color w:val="auto"/>
          <w:sz w:val="24"/>
          <w:szCs w:val="24"/>
          <w:highlight w:val="none"/>
          <w:lang w:val="en-US" w:eastAsia="zh-CN"/>
        </w:rPr>
        <w:t>00:00</w:t>
      </w:r>
      <w:r>
        <w:rPr>
          <w:rFonts w:hint="eastAsia" w:asciiTheme="majorEastAsia" w:hAnsiTheme="majorEastAsia" w:eastAsiaTheme="majorEastAsia" w:cstheme="majorEastAsia"/>
          <w:color w:val="auto"/>
          <w:sz w:val="24"/>
          <w:szCs w:val="24"/>
          <w:highlight w:val="none"/>
        </w:rPr>
        <w:t>时起，到202</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年</w:t>
      </w:r>
      <w:r>
        <w:rPr>
          <w:rFonts w:hint="eastAsia" w:asciiTheme="majorEastAsia" w:hAnsiTheme="majorEastAsia" w:eastAsiaTheme="majorEastAsia" w:cstheme="majorEastAsia"/>
          <w:color w:val="auto"/>
          <w:sz w:val="24"/>
          <w:szCs w:val="24"/>
          <w:highlight w:val="none"/>
          <w:lang w:val="en-US" w:eastAsia="zh-CN"/>
        </w:rPr>
        <w:t>10</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lang w:val="en-US" w:eastAsia="zh-CN"/>
        </w:rPr>
        <w:t>30</w:t>
      </w:r>
      <w:r>
        <w:rPr>
          <w:rFonts w:hint="eastAsia" w:asciiTheme="majorEastAsia" w:hAnsiTheme="majorEastAsia" w:eastAsiaTheme="majorEastAsia" w:cstheme="majorEastAsia"/>
          <w:color w:val="auto"/>
          <w:sz w:val="24"/>
          <w:szCs w:val="24"/>
          <w:highlight w:val="none"/>
        </w:rPr>
        <w:t>日</w:t>
      </w:r>
      <w:r>
        <w:rPr>
          <w:rFonts w:hint="eastAsia" w:asciiTheme="majorEastAsia" w:hAnsiTheme="majorEastAsia" w:eastAsiaTheme="majorEastAsia" w:cstheme="majorEastAsia"/>
          <w:color w:val="auto"/>
          <w:sz w:val="24"/>
          <w:szCs w:val="24"/>
          <w:highlight w:val="none"/>
          <w:lang w:val="en-US" w:eastAsia="zh-CN"/>
        </w:rPr>
        <w:t>17:30时</w:t>
      </w:r>
      <w:r>
        <w:rPr>
          <w:rFonts w:hint="eastAsia" w:asciiTheme="majorEastAsia" w:hAnsiTheme="majorEastAsia" w:eastAsiaTheme="majorEastAsia" w:cstheme="majorEastAsia"/>
          <w:color w:val="auto"/>
          <w:sz w:val="24"/>
          <w:szCs w:val="24"/>
          <w:highlight w:val="none"/>
        </w:rPr>
        <w:t>止；</w:t>
      </w:r>
    </w:p>
    <w:p w14:paraId="13D4C8B0">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2.获取方式：</w:t>
      </w:r>
      <w:r>
        <w:rPr>
          <w:rFonts w:hint="eastAsia" w:asciiTheme="majorEastAsia" w:hAnsiTheme="majorEastAsia" w:eastAsiaTheme="majorEastAsia" w:cstheme="majorEastAsia"/>
          <w:b/>
          <w:color w:val="auto"/>
          <w:sz w:val="24"/>
          <w:szCs w:val="24"/>
          <w:highlight w:val="none"/>
          <w:lang w:eastAsia="zh-CN"/>
        </w:rPr>
        <w:t>供应商</w:t>
      </w:r>
      <w:r>
        <w:rPr>
          <w:rFonts w:hint="eastAsia" w:asciiTheme="majorEastAsia" w:hAnsiTheme="majorEastAsia" w:eastAsiaTheme="majorEastAsia" w:cstheme="majorEastAsia"/>
          <w:b/>
          <w:color w:val="auto"/>
          <w:sz w:val="24"/>
          <w:szCs w:val="24"/>
          <w:highlight w:val="none"/>
        </w:rPr>
        <w:t>完成注册并办理CA证书后，登录江苏省政府采购管理交易系统（苏采云）（http://jszfcg.jsczt.cn/）获取本项目的招标文件及有关资料。</w:t>
      </w:r>
    </w:p>
    <w:p w14:paraId="66A42D0E">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3.售价：免费。</w:t>
      </w:r>
    </w:p>
    <w:p w14:paraId="19212A59">
      <w:pPr>
        <w:spacing w:line="460" w:lineRule="exact"/>
        <w:ind w:firstLine="482" w:firstLineChars="200"/>
        <w:outlineLvl w:val="1"/>
        <w:rPr>
          <w:rFonts w:hint="eastAsia" w:asciiTheme="majorEastAsia" w:hAnsiTheme="majorEastAsia" w:eastAsiaTheme="majorEastAsia" w:cstheme="majorEastAsia"/>
          <w:b/>
          <w:color w:val="auto"/>
          <w:sz w:val="24"/>
          <w:szCs w:val="24"/>
          <w:highlight w:val="none"/>
        </w:rPr>
      </w:pPr>
      <w:bookmarkStart w:id="30" w:name="_Toc28359005"/>
      <w:bookmarkStart w:id="31" w:name="_Toc28359082"/>
      <w:bookmarkStart w:id="32" w:name="_Toc35393624"/>
      <w:bookmarkStart w:id="33" w:name="_Toc17642"/>
      <w:bookmarkStart w:id="34" w:name="_Toc35393793"/>
      <w:r>
        <w:rPr>
          <w:rFonts w:hint="eastAsia" w:asciiTheme="majorEastAsia" w:hAnsiTheme="majorEastAsia" w:eastAsiaTheme="majorEastAsia" w:cstheme="majorEastAsia"/>
          <w:b/>
          <w:color w:val="auto"/>
          <w:sz w:val="24"/>
          <w:szCs w:val="24"/>
          <w:highlight w:val="none"/>
        </w:rPr>
        <w:t>四、提交投标文件</w:t>
      </w:r>
      <w:bookmarkEnd w:id="30"/>
      <w:bookmarkEnd w:id="31"/>
      <w:r>
        <w:rPr>
          <w:rFonts w:hint="eastAsia" w:asciiTheme="majorEastAsia" w:hAnsiTheme="majorEastAsia" w:eastAsiaTheme="majorEastAsia" w:cstheme="majorEastAsia"/>
          <w:b/>
          <w:color w:val="auto"/>
          <w:sz w:val="24"/>
          <w:szCs w:val="24"/>
          <w:highlight w:val="none"/>
        </w:rPr>
        <w:t>截止时间、开标时间和地点</w:t>
      </w:r>
      <w:bookmarkEnd w:id="32"/>
      <w:bookmarkEnd w:id="33"/>
      <w:bookmarkEnd w:id="34"/>
    </w:p>
    <w:p w14:paraId="5E049D1E">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1.提交投标文件截止时间：202</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年</w:t>
      </w:r>
      <w:r>
        <w:rPr>
          <w:rFonts w:hint="eastAsia" w:asciiTheme="majorEastAsia" w:hAnsiTheme="majorEastAsia" w:eastAsiaTheme="majorEastAsia" w:cstheme="majorEastAsia"/>
          <w:color w:val="auto"/>
          <w:sz w:val="24"/>
          <w:szCs w:val="24"/>
          <w:highlight w:val="none"/>
          <w:lang w:val="en-US" w:eastAsia="zh-CN"/>
        </w:rPr>
        <w:t>11</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lang w:val="en-US" w:eastAsia="zh-CN"/>
        </w:rPr>
        <w:t>13</w:t>
      </w:r>
      <w:r>
        <w:rPr>
          <w:rFonts w:hint="eastAsia" w:asciiTheme="majorEastAsia" w:hAnsiTheme="majorEastAsia" w:eastAsiaTheme="majorEastAsia" w:cstheme="majorEastAsia"/>
          <w:color w:val="auto"/>
          <w:sz w:val="24"/>
          <w:szCs w:val="24"/>
          <w:highlight w:val="none"/>
        </w:rPr>
        <w:t>日</w:t>
      </w:r>
      <w:r>
        <w:rPr>
          <w:rFonts w:hint="eastAsia" w:asciiTheme="majorEastAsia" w:hAnsiTheme="majorEastAsia" w:eastAsiaTheme="majorEastAsia" w:cstheme="majorEastAsia"/>
          <w:color w:val="auto"/>
          <w:sz w:val="24"/>
          <w:szCs w:val="24"/>
          <w:highlight w:val="none"/>
          <w:lang w:val="en-US" w:eastAsia="zh-CN"/>
        </w:rPr>
        <w:t>9</w:t>
      </w:r>
      <w:r>
        <w:rPr>
          <w:rFonts w:hint="eastAsia" w:asciiTheme="majorEastAsia" w:hAnsiTheme="majorEastAsia" w:eastAsiaTheme="majorEastAsia" w:cstheme="majorEastAsia"/>
          <w:color w:val="auto"/>
          <w:sz w:val="24"/>
          <w:szCs w:val="24"/>
          <w:highlight w:val="none"/>
        </w:rPr>
        <w:t xml:space="preserve">点 </w:t>
      </w:r>
      <w:r>
        <w:rPr>
          <w:rFonts w:hint="eastAsia" w:asciiTheme="majorEastAsia" w:hAnsiTheme="majorEastAsia" w:eastAsiaTheme="majorEastAsia" w:cstheme="majorEastAsia"/>
          <w:color w:val="auto"/>
          <w:sz w:val="24"/>
          <w:szCs w:val="24"/>
          <w:highlight w:val="none"/>
          <w:lang w:val="en-US" w:eastAsia="zh-CN"/>
        </w:rPr>
        <w:t>0</w:t>
      </w:r>
      <w:r>
        <w:rPr>
          <w:rFonts w:hint="eastAsia" w:asciiTheme="majorEastAsia" w:hAnsiTheme="majorEastAsia" w:eastAsiaTheme="majorEastAsia" w:cstheme="majorEastAsia"/>
          <w:color w:val="auto"/>
          <w:sz w:val="24"/>
          <w:szCs w:val="24"/>
          <w:highlight w:val="none"/>
        </w:rPr>
        <w:t>0分止（北京时间）；</w:t>
      </w:r>
    </w:p>
    <w:p w14:paraId="2AF157CF">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2.开标时间：同投标文件递交截止时间；</w:t>
      </w:r>
    </w:p>
    <w:p w14:paraId="5CC0636F">
      <w:pPr>
        <w:spacing w:line="460" w:lineRule="exact"/>
        <w:ind w:firstLine="480" w:firstLineChars="200"/>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3.开标地点：“苏采云”系统“开标大厅”。</w:t>
      </w:r>
    </w:p>
    <w:p w14:paraId="6B03E4EE">
      <w:pPr>
        <w:spacing w:line="460" w:lineRule="exact"/>
        <w:ind w:firstLine="482" w:firstLineChars="200"/>
        <w:outlineLvl w:val="1"/>
        <w:rPr>
          <w:rFonts w:hint="eastAsia" w:asciiTheme="majorEastAsia" w:hAnsiTheme="majorEastAsia" w:eastAsiaTheme="majorEastAsia" w:cstheme="majorEastAsia"/>
          <w:b/>
          <w:color w:val="auto"/>
          <w:sz w:val="24"/>
          <w:szCs w:val="24"/>
          <w:highlight w:val="none"/>
        </w:rPr>
      </w:pPr>
      <w:bookmarkStart w:id="35" w:name="_Toc28359007"/>
      <w:bookmarkStart w:id="36" w:name="_Toc28359084"/>
      <w:bookmarkStart w:id="37" w:name="_Toc13270"/>
      <w:bookmarkStart w:id="38" w:name="_Toc35393794"/>
      <w:bookmarkStart w:id="39" w:name="_Toc35393625"/>
      <w:r>
        <w:rPr>
          <w:rFonts w:hint="eastAsia" w:asciiTheme="majorEastAsia" w:hAnsiTheme="majorEastAsia" w:eastAsiaTheme="majorEastAsia" w:cstheme="majorEastAsia"/>
          <w:b/>
          <w:color w:val="auto"/>
          <w:sz w:val="24"/>
          <w:szCs w:val="24"/>
          <w:highlight w:val="none"/>
        </w:rPr>
        <w:t>五、公告期限</w:t>
      </w:r>
      <w:bookmarkEnd w:id="35"/>
      <w:bookmarkEnd w:id="36"/>
      <w:bookmarkEnd w:id="37"/>
      <w:bookmarkEnd w:id="38"/>
      <w:bookmarkEnd w:id="39"/>
    </w:p>
    <w:p w14:paraId="0F02D164">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自本公告发布之日起5个工作日。</w:t>
      </w:r>
    </w:p>
    <w:p w14:paraId="2BB26C1B">
      <w:pPr>
        <w:spacing w:line="460" w:lineRule="exact"/>
        <w:ind w:firstLine="482" w:firstLineChars="200"/>
        <w:outlineLvl w:val="1"/>
        <w:rPr>
          <w:rFonts w:hint="eastAsia" w:asciiTheme="majorEastAsia" w:hAnsiTheme="majorEastAsia" w:eastAsiaTheme="majorEastAsia" w:cstheme="majorEastAsia"/>
          <w:color w:val="auto"/>
          <w:sz w:val="24"/>
          <w:szCs w:val="24"/>
          <w:highlight w:val="none"/>
        </w:rPr>
      </w:pPr>
      <w:bookmarkStart w:id="40" w:name="_Toc24651"/>
      <w:bookmarkStart w:id="41" w:name="_Toc35393795"/>
      <w:bookmarkStart w:id="42" w:name="_Toc35393626"/>
      <w:r>
        <w:rPr>
          <w:rFonts w:hint="eastAsia" w:asciiTheme="majorEastAsia" w:hAnsiTheme="majorEastAsia" w:eastAsiaTheme="majorEastAsia" w:cstheme="majorEastAsia"/>
          <w:b/>
          <w:color w:val="auto"/>
          <w:sz w:val="24"/>
          <w:szCs w:val="24"/>
          <w:highlight w:val="none"/>
        </w:rPr>
        <w:t>六、其他补充事宜</w:t>
      </w:r>
      <w:bookmarkEnd w:id="40"/>
      <w:bookmarkEnd w:id="41"/>
      <w:bookmarkEnd w:id="42"/>
    </w:p>
    <w:p w14:paraId="13302F9A">
      <w:pPr>
        <w:spacing w:line="46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.公告发布媒介：江苏政府采购网（www.ccgp-jiangsu.gov.cn）</w:t>
      </w:r>
    </w:p>
    <w:p w14:paraId="5AD366A9">
      <w:pPr>
        <w:spacing w:line="460" w:lineRule="exact"/>
        <w:ind w:firstLine="482"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lang w:val="en-US" w:eastAsia="zh-CN"/>
        </w:rPr>
        <w:t>2</w:t>
      </w:r>
      <w:r>
        <w:rPr>
          <w:rFonts w:hint="eastAsia" w:asciiTheme="majorEastAsia" w:hAnsiTheme="majorEastAsia" w:eastAsiaTheme="majorEastAsia" w:cstheme="majorEastAsia"/>
          <w:b/>
          <w:color w:val="auto"/>
          <w:sz w:val="24"/>
          <w:szCs w:val="24"/>
          <w:highlight w:val="none"/>
        </w:rPr>
        <w:t>.</w:t>
      </w: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b/>
          <w:color w:val="auto"/>
          <w:sz w:val="24"/>
          <w:szCs w:val="24"/>
          <w:highlight w:val="none"/>
        </w:rPr>
        <w:t>注意事项：</w:t>
      </w:r>
    </w:p>
    <w:p w14:paraId="2E9BB421">
      <w:pPr>
        <w:spacing w:line="460" w:lineRule="exact"/>
        <w:ind w:firstLine="482"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（1）潜在</w:t>
      </w:r>
      <w:r>
        <w:rPr>
          <w:rFonts w:hint="eastAsia" w:asciiTheme="majorEastAsia" w:hAnsiTheme="majorEastAsia" w:eastAsiaTheme="majorEastAsia" w:cstheme="majorEastAsia"/>
          <w:b/>
          <w:color w:val="auto"/>
          <w:sz w:val="24"/>
          <w:szCs w:val="24"/>
          <w:highlight w:val="none"/>
          <w:lang w:eastAsia="zh-CN"/>
        </w:rPr>
        <w:t>供应商</w:t>
      </w:r>
      <w:r>
        <w:rPr>
          <w:rFonts w:hint="eastAsia" w:asciiTheme="majorEastAsia" w:hAnsiTheme="majorEastAsia" w:eastAsiaTheme="majorEastAsia" w:cstheme="majorEastAsia"/>
          <w:b/>
          <w:color w:val="auto"/>
          <w:sz w:val="24"/>
          <w:szCs w:val="24"/>
          <w:highlight w:val="none"/>
        </w:rPr>
        <w:t>登录“江苏省政府采购管理交易系统（苏采云）”须持经注册的CA证书。未注册、领取CA和办理电子签章的潜在</w:t>
      </w:r>
      <w:r>
        <w:rPr>
          <w:rFonts w:hint="eastAsia" w:asciiTheme="majorEastAsia" w:hAnsiTheme="majorEastAsia" w:eastAsiaTheme="majorEastAsia" w:cstheme="majorEastAsia"/>
          <w:b/>
          <w:color w:val="auto"/>
          <w:sz w:val="24"/>
          <w:szCs w:val="24"/>
          <w:highlight w:val="none"/>
          <w:lang w:eastAsia="zh-CN"/>
        </w:rPr>
        <w:t>供应商</w:t>
      </w:r>
      <w:r>
        <w:rPr>
          <w:rFonts w:hint="eastAsia" w:asciiTheme="majorEastAsia" w:hAnsiTheme="majorEastAsia" w:eastAsiaTheme="majorEastAsia" w:cstheme="majorEastAsia"/>
          <w:b/>
          <w:color w:val="auto"/>
          <w:sz w:val="24"/>
          <w:szCs w:val="24"/>
          <w:highlight w:val="none"/>
        </w:rPr>
        <w:t>，请至泰州市高港区泰州大道188号(中国医药城会展交易中心W3馆西南角)公共资源交易大厅政务CA窗口办理，电话：0523-81568158。</w:t>
      </w:r>
    </w:p>
    <w:p w14:paraId="2ADA029E">
      <w:pPr>
        <w:spacing w:line="460" w:lineRule="exact"/>
        <w:ind w:firstLine="482"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（2）本项目采用电子化投标，</w:t>
      </w:r>
      <w:r>
        <w:rPr>
          <w:rFonts w:hint="eastAsia" w:asciiTheme="majorEastAsia" w:hAnsiTheme="majorEastAsia" w:eastAsiaTheme="majorEastAsia" w:cstheme="majorEastAsia"/>
          <w:b/>
          <w:color w:val="auto"/>
          <w:sz w:val="24"/>
          <w:szCs w:val="24"/>
          <w:highlight w:val="none"/>
          <w:lang w:eastAsia="zh-CN"/>
        </w:rPr>
        <w:t>供应商</w:t>
      </w:r>
      <w:r>
        <w:rPr>
          <w:rFonts w:hint="eastAsia" w:asciiTheme="majorEastAsia" w:hAnsiTheme="majorEastAsia" w:eastAsiaTheme="majorEastAsia" w:cstheme="majorEastAsia"/>
          <w:b/>
          <w:color w:val="auto"/>
          <w:sz w:val="24"/>
          <w:szCs w:val="24"/>
          <w:highlight w:val="none"/>
        </w:rPr>
        <w:t>应根据《江苏省政府采购管理交易系统（苏采云）供应商操作手册》（“泰州市政府采购网—下载中心”下载）规定，制作、上传电子投标文件（技术支持电话：0523-87633965、0523-86897512；客服QQ709339244、QQ：1810179072）。</w:t>
      </w:r>
    </w:p>
    <w:p w14:paraId="0D5EEA40">
      <w:pPr>
        <w:spacing w:line="460" w:lineRule="exact"/>
        <w:ind w:firstLine="482"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（3）有关本次招标的事项若存在变动或修改，敬请及时关注“江苏政府采购网”发布的更正公告。</w:t>
      </w:r>
    </w:p>
    <w:p w14:paraId="329A461E">
      <w:pPr>
        <w:spacing w:line="4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如潜在</w:t>
      </w:r>
      <w:r>
        <w:rPr>
          <w:rFonts w:hint="eastAsia" w:asciiTheme="majorEastAsia" w:hAnsiTheme="majorEastAsia" w:eastAsiaTheme="majorEastAsia" w:cstheme="majorEastAsia"/>
          <w:b/>
          <w:color w:val="auto"/>
          <w:sz w:val="24"/>
          <w:szCs w:val="24"/>
          <w:highlight w:val="none"/>
          <w:lang w:eastAsia="zh-CN"/>
        </w:rPr>
        <w:t>供应商</w:t>
      </w:r>
      <w:r>
        <w:rPr>
          <w:rFonts w:hint="eastAsia" w:asciiTheme="majorEastAsia" w:hAnsiTheme="majorEastAsia" w:eastAsiaTheme="majorEastAsia" w:cstheme="majorEastAsia"/>
          <w:b/>
          <w:color w:val="auto"/>
          <w:sz w:val="24"/>
          <w:szCs w:val="24"/>
          <w:highlight w:val="none"/>
        </w:rPr>
        <w:t>未按上述要求操作，将自行承担所产生的风险。</w:t>
      </w:r>
    </w:p>
    <w:p w14:paraId="05DF7F2E">
      <w:pPr>
        <w:spacing w:line="460" w:lineRule="exact"/>
        <w:ind w:firstLine="482" w:firstLineChars="200"/>
        <w:outlineLvl w:val="1"/>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七、对本次招标提出询问，请按以下方式联系。</w:t>
      </w:r>
      <w:bookmarkEnd w:id="25"/>
      <w:bookmarkEnd w:id="26"/>
      <w:bookmarkEnd w:id="27"/>
      <w:bookmarkEnd w:id="28"/>
      <w:bookmarkEnd w:id="29"/>
    </w:p>
    <w:p w14:paraId="57A0CE27">
      <w:pPr>
        <w:keepNext w:val="0"/>
        <w:keepLines w:val="0"/>
        <w:pageBreakBefore w:val="0"/>
        <w:widowControl/>
        <w:kinsoku/>
        <w:wordWrap/>
        <w:overflowPunct/>
        <w:topLinePunct w:val="0"/>
        <w:autoSpaceDE/>
        <w:autoSpaceDN/>
        <w:bidi w:val="0"/>
        <w:spacing w:line="480" w:lineRule="exact"/>
        <w:ind w:firstLine="420"/>
        <w:jc w:val="left"/>
        <w:textAlignment w:val="auto"/>
        <w:rPr>
          <w:rFonts w:hint="eastAsia" w:ascii="宋体" w:hAnsi="宋体" w:eastAsia="宋体" w:cs="宋体"/>
          <w:color w:val="auto"/>
          <w:kern w:val="2"/>
          <w:sz w:val="24"/>
          <w:highlight w:val="none"/>
          <w:u w:val="none"/>
        </w:rPr>
      </w:pPr>
      <w:bookmarkStart w:id="43" w:name="_Toc426469869"/>
      <w:bookmarkStart w:id="44" w:name="_Toc513029200"/>
      <w:bookmarkStart w:id="45" w:name="_Toc382813885"/>
      <w:bookmarkStart w:id="46" w:name="_Toc523127445"/>
      <w:bookmarkStart w:id="47" w:name="_Toc16938516"/>
      <w:bookmarkStart w:id="48" w:name="_Toc382812472"/>
      <w:bookmarkStart w:id="49" w:name="_Toc382813966"/>
      <w:bookmarkStart w:id="50" w:name="_Toc479757206"/>
      <w:bookmarkStart w:id="51" w:name="_Toc20823272"/>
      <w:r>
        <w:rPr>
          <w:rFonts w:hint="eastAsia" w:ascii="宋体" w:hAnsi="宋体" w:eastAsia="宋体" w:cs="宋体"/>
          <w:color w:val="auto"/>
          <w:kern w:val="2"/>
          <w:sz w:val="24"/>
          <w:highlight w:val="none"/>
          <w:u w:val="none"/>
        </w:rPr>
        <w:t>1.采购人信息</w:t>
      </w:r>
    </w:p>
    <w:p w14:paraId="727A8D65">
      <w:pPr>
        <w:keepNext w:val="0"/>
        <w:keepLines w:val="0"/>
        <w:pageBreakBefore w:val="0"/>
        <w:widowControl/>
        <w:kinsoku/>
        <w:wordWrap/>
        <w:overflowPunct/>
        <w:topLinePunct w:val="0"/>
        <w:autoSpaceDE/>
        <w:autoSpaceDN/>
        <w:bidi w:val="0"/>
        <w:spacing w:line="480" w:lineRule="exact"/>
        <w:ind w:firstLine="420"/>
        <w:jc w:val="left"/>
        <w:textAlignment w:val="auto"/>
        <w:rPr>
          <w:rFonts w:hint="default" w:ascii="宋体" w:hAnsi="宋体" w:eastAsia="宋体" w:cs="宋体"/>
          <w:color w:val="auto"/>
          <w:kern w:val="2"/>
          <w:sz w:val="24"/>
          <w:highlight w:val="none"/>
          <w:u w:val="none"/>
          <w:lang w:val="en-US" w:eastAsia="zh-CN"/>
        </w:rPr>
      </w:pPr>
      <w:r>
        <w:rPr>
          <w:rFonts w:hint="eastAsia" w:ascii="宋体" w:hAnsi="宋体" w:eastAsia="宋体" w:cs="宋体"/>
          <w:color w:val="auto"/>
          <w:kern w:val="2"/>
          <w:sz w:val="24"/>
          <w:highlight w:val="none"/>
          <w:u w:val="none"/>
        </w:rPr>
        <w:t>名称：</w:t>
      </w:r>
      <w:r>
        <w:rPr>
          <w:rFonts w:hint="eastAsia" w:ascii="宋体" w:hAnsi="宋体" w:eastAsia="宋体" w:cs="宋体"/>
          <w:color w:val="auto"/>
          <w:kern w:val="2"/>
          <w:sz w:val="24"/>
          <w:highlight w:val="none"/>
          <w:u w:val="none"/>
          <w:lang w:eastAsia="zh-CN"/>
        </w:rPr>
        <w:t>泰兴市</w:t>
      </w:r>
      <w:r>
        <w:rPr>
          <w:rFonts w:hint="eastAsia" w:ascii="宋体" w:hAnsi="宋体" w:cs="宋体"/>
          <w:color w:val="auto"/>
          <w:kern w:val="2"/>
          <w:sz w:val="24"/>
          <w:highlight w:val="none"/>
          <w:u w:val="none"/>
          <w:lang w:val="en-US" w:eastAsia="zh-CN"/>
        </w:rPr>
        <w:t>第二人民医院</w:t>
      </w:r>
    </w:p>
    <w:p w14:paraId="6399BE5A">
      <w:pPr>
        <w:keepNext w:val="0"/>
        <w:keepLines w:val="0"/>
        <w:pageBreakBefore w:val="0"/>
        <w:widowControl/>
        <w:kinsoku/>
        <w:wordWrap/>
        <w:overflowPunct/>
        <w:topLinePunct w:val="0"/>
        <w:autoSpaceDE/>
        <w:autoSpaceDN/>
        <w:bidi w:val="0"/>
        <w:spacing w:line="480" w:lineRule="exact"/>
        <w:ind w:firstLine="420"/>
        <w:jc w:val="left"/>
        <w:textAlignment w:val="auto"/>
        <w:rPr>
          <w:rFonts w:hint="eastAsia" w:ascii="宋体" w:hAnsi="宋体" w:eastAsia="宋体" w:cs="宋体"/>
          <w:color w:val="auto"/>
          <w:kern w:val="2"/>
          <w:sz w:val="24"/>
          <w:szCs w:val="24"/>
          <w:highlight w:val="none"/>
          <w:u w:val="none"/>
          <w:lang w:val="en-US" w:eastAsia="zh-CN"/>
        </w:rPr>
      </w:pPr>
      <w:r>
        <w:rPr>
          <w:rFonts w:hint="eastAsia" w:ascii="宋体" w:hAnsi="宋体" w:eastAsia="宋体" w:cs="宋体"/>
          <w:color w:val="auto"/>
          <w:kern w:val="2"/>
          <w:sz w:val="24"/>
          <w:szCs w:val="24"/>
          <w:highlight w:val="none"/>
          <w:u w:val="none"/>
          <w:lang w:eastAsia="zh-CN"/>
        </w:rPr>
        <w:t>地</w:t>
      </w:r>
      <w:r>
        <w:rPr>
          <w:rFonts w:hint="eastAsia" w:ascii="宋体" w:hAnsi="宋体" w:eastAsia="宋体" w:cs="宋体"/>
          <w:color w:val="auto"/>
          <w:kern w:val="2"/>
          <w:sz w:val="24"/>
          <w:szCs w:val="24"/>
          <w:highlight w:val="none"/>
          <w:u w:val="none"/>
          <w:lang w:val="en-US" w:eastAsia="zh-CN"/>
        </w:rPr>
        <w:t xml:space="preserve">  </w:t>
      </w:r>
      <w:r>
        <w:rPr>
          <w:rFonts w:hint="eastAsia" w:ascii="宋体" w:hAnsi="宋体" w:eastAsia="宋体" w:cs="宋体"/>
          <w:color w:val="auto"/>
          <w:kern w:val="2"/>
          <w:sz w:val="24"/>
          <w:szCs w:val="24"/>
          <w:highlight w:val="none"/>
          <w:u w:val="none"/>
          <w:lang w:eastAsia="zh-CN"/>
        </w:rPr>
        <w:t>址：泰兴市黄桥镇银杏西路588号</w:t>
      </w:r>
    </w:p>
    <w:p w14:paraId="483DA8FF">
      <w:pPr>
        <w:keepNext w:val="0"/>
        <w:keepLines w:val="0"/>
        <w:pageBreakBefore w:val="0"/>
        <w:widowControl/>
        <w:kinsoku/>
        <w:wordWrap/>
        <w:overflowPunct/>
        <w:topLinePunct w:val="0"/>
        <w:autoSpaceDE/>
        <w:autoSpaceDN/>
        <w:bidi w:val="0"/>
        <w:spacing w:line="480" w:lineRule="exact"/>
        <w:ind w:firstLine="420"/>
        <w:jc w:val="left"/>
        <w:textAlignment w:val="auto"/>
        <w:rPr>
          <w:rFonts w:hint="eastAsia" w:ascii="宋体" w:hAnsi="宋体" w:eastAsia="宋体" w:cs="宋体"/>
          <w:color w:val="auto"/>
          <w:kern w:val="2"/>
          <w:sz w:val="24"/>
          <w:highlight w:val="none"/>
          <w:u w:val="none"/>
        </w:rPr>
      </w:pPr>
      <w:r>
        <w:rPr>
          <w:rFonts w:hint="eastAsia" w:ascii="宋体" w:hAnsi="宋体" w:eastAsia="宋体" w:cs="宋体"/>
          <w:color w:val="auto"/>
          <w:kern w:val="2"/>
          <w:sz w:val="24"/>
          <w:szCs w:val="24"/>
          <w:highlight w:val="none"/>
          <w:u w:val="none"/>
          <w:lang w:eastAsia="zh-CN"/>
        </w:rPr>
        <w:t>联系方式：</w:t>
      </w:r>
      <w:r>
        <w:rPr>
          <w:rFonts w:hint="eastAsia" w:ascii="宋体" w:hAnsi="宋体" w:eastAsia="宋体" w:cs="宋体"/>
          <w:color w:val="auto"/>
          <w:kern w:val="2"/>
          <w:sz w:val="24"/>
          <w:szCs w:val="24"/>
          <w:highlight w:val="none"/>
          <w:lang w:eastAsia="zh-CN"/>
        </w:rPr>
        <w:t>13952697256</w:t>
      </w:r>
    </w:p>
    <w:p w14:paraId="3B6F3032">
      <w:pPr>
        <w:keepNext w:val="0"/>
        <w:keepLines w:val="0"/>
        <w:pageBreakBefore w:val="0"/>
        <w:widowControl/>
        <w:kinsoku/>
        <w:wordWrap/>
        <w:overflowPunct/>
        <w:topLinePunct w:val="0"/>
        <w:autoSpaceDE/>
        <w:autoSpaceDN/>
        <w:bidi w:val="0"/>
        <w:spacing w:line="480" w:lineRule="exact"/>
        <w:ind w:firstLine="420"/>
        <w:jc w:val="left"/>
        <w:textAlignment w:val="auto"/>
        <w:rPr>
          <w:rFonts w:hint="eastAsia" w:ascii="宋体" w:hAnsi="宋体" w:eastAsia="宋体" w:cs="宋体"/>
          <w:color w:val="auto"/>
          <w:kern w:val="2"/>
          <w:sz w:val="24"/>
          <w:highlight w:val="none"/>
        </w:rPr>
      </w:pPr>
      <w:r>
        <w:rPr>
          <w:rFonts w:hint="eastAsia" w:ascii="宋体" w:hAnsi="宋体" w:eastAsia="宋体" w:cs="宋体"/>
          <w:color w:val="auto"/>
          <w:kern w:val="2"/>
          <w:sz w:val="24"/>
          <w:highlight w:val="none"/>
        </w:rPr>
        <w:t>2.采购代理机构信息</w:t>
      </w:r>
    </w:p>
    <w:p w14:paraId="4CAD733A">
      <w:pPr>
        <w:keepNext w:val="0"/>
        <w:keepLines w:val="0"/>
        <w:pageBreakBefore w:val="0"/>
        <w:widowControl/>
        <w:kinsoku/>
        <w:wordWrap/>
        <w:overflowPunct/>
        <w:topLinePunct w:val="0"/>
        <w:autoSpaceDE/>
        <w:autoSpaceDN/>
        <w:bidi w:val="0"/>
        <w:spacing w:line="480" w:lineRule="exact"/>
        <w:ind w:firstLine="420"/>
        <w:jc w:val="left"/>
        <w:textAlignment w:val="auto"/>
        <w:rPr>
          <w:rFonts w:hint="eastAsia" w:ascii="宋体" w:hAnsi="宋体" w:eastAsia="宋体" w:cs="宋体"/>
          <w:color w:val="auto"/>
          <w:kern w:val="2"/>
          <w:sz w:val="24"/>
          <w:highlight w:val="none"/>
        </w:rPr>
      </w:pPr>
      <w:r>
        <w:rPr>
          <w:rFonts w:hint="eastAsia" w:ascii="宋体" w:hAnsi="宋体" w:eastAsia="宋体" w:cs="宋体"/>
          <w:color w:val="auto"/>
          <w:kern w:val="2"/>
          <w:sz w:val="24"/>
          <w:highlight w:val="none"/>
        </w:rPr>
        <w:t>名 称：</w:t>
      </w:r>
      <w:r>
        <w:rPr>
          <w:rFonts w:hint="eastAsia" w:ascii="宋体" w:hAnsi="宋体" w:eastAsia="宋体" w:cs="宋体"/>
          <w:color w:val="auto"/>
          <w:kern w:val="2"/>
          <w:sz w:val="24"/>
          <w:highlight w:val="none"/>
          <w:u w:val="none"/>
        </w:rPr>
        <w:t>江苏国兴建设项目管理有限公司</w:t>
      </w:r>
    </w:p>
    <w:p w14:paraId="45ED361C">
      <w:pPr>
        <w:keepNext w:val="0"/>
        <w:keepLines w:val="0"/>
        <w:pageBreakBefore w:val="0"/>
        <w:widowControl/>
        <w:kinsoku/>
        <w:wordWrap/>
        <w:overflowPunct/>
        <w:topLinePunct w:val="0"/>
        <w:autoSpaceDE/>
        <w:autoSpaceDN/>
        <w:bidi w:val="0"/>
        <w:spacing w:line="480" w:lineRule="exact"/>
        <w:ind w:firstLine="420"/>
        <w:jc w:val="left"/>
        <w:textAlignment w:val="auto"/>
        <w:rPr>
          <w:rFonts w:hint="default" w:ascii="宋体" w:hAnsi="宋体" w:eastAsia="宋体" w:cs="宋体"/>
          <w:color w:val="auto"/>
          <w:kern w:val="2"/>
          <w:sz w:val="24"/>
          <w:highlight w:val="none"/>
          <w:u w:val="none"/>
          <w:lang w:val="en-US" w:eastAsia="zh-CN"/>
        </w:rPr>
      </w:pPr>
      <w:r>
        <w:rPr>
          <w:rFonts w:hint="eastAsia" w:ascii="宋体" w:hAnsi="宋体" w:eastAsia="宋体" w:cs="宋体"/>
          <w:color w:val="auto"/>
          <w:kern w:val="2"/>
          <w:sz w:val="24"/>
          <w:highlight w:val="none"/>
        </w:rPr>
        <w:t>地　址：</w:t>
      </w:r>
      <w:r>
        <w:rPr>
          <w:rFonts w:hint="eastAsia" w:ascii="宋体" w:hAnsi="宋体" w:eastAsia="宋体" w:cs="宋体"/>
          <w:color w:val="auto"/>
          <w:kern w:val="2"/>
          <w:sz w:val="24"/>
          <w:highlight w:val="none"/>
          <w:u w:val="none"/>
          <w:lang w:val="en-US" w:eastAsia="zh-CN"/>
        </w:rPr>
        <w:t>政务服务中心1</w:t>
      </w:r>
      <w:r>
        <w:rPr>
          <w:rFonts w:hint="eastAsia" w:ascii="宋体" w:hAnsi="宋体" w:cs="宋体"/>
          <w:color w:val="auto"/>
          <w:kern w:val="2"/>
          <w:sz w:val="24"/>
          <w:highlight w:val="none"/>
          <w:u w:val="none"/>
          <w:lang w:val="en-US" w:eastAsia="zh-CN"/>
        </w:rPr>
        <w:t>003</w:t>
      </w:r>
    </w:p>
    <w:p w14:paraId="707079B1">
      <w:pPr>
        <w:keepNext w:val="0"/>
        <w:keepLines w:val="0"/>
        <w:pageBreakBefore w:val="0"/>
        <w:widowControl/>
        <w:kinsoku/>
        <w:wordWrap/>
        <w:overflowPunct/>
        <w:topLinePunct w:val="0"/>
        <w:autoSpaceDE/>
        <w:autoSpaceDN/>
        <w:bidi w:val="0"/>
        <w:spacing w:line="480" w:lineRule="exact"/>
        <w:ind w:firstLine="420"/>
        <w:jc w:val="left"/>
        <w:textAlignment w:val="auto"/>
        <w:rPr>
          <w:rFonts w:hint="eastAsia" w:ascii="宋体" w:hAnsi="宋体" w:eastAsia="宋体" w:cs="宋体"/>
          <w:color w:val="auto"/>
          <w:kern w:val="2"/>
          <w:sz w:val="24"/>
          <w:highlight w:val="none"/>
          <w:u w:val="none"/>
        </w:rPr>
      </w:pPr>
      <w:r>
        <w:rPr>
          <w:rFonts w:hint="eastAsia" w:ascii="宋体" w:hAnsi="宋体" w:eastAsia="宋体" w:cs="宋体"/>
          <w:color w:val="auto"/>
          <w:kern w:val="2"/>
          <w:sz w:val="24"/>
          <w:highlight w:val="none"/>
        </w:rPr>
        <w:t>联系方式：</w:t>
      </w:r>
      <w:r>
        <w:rPr>
          <w:rFonts w:hint="eastAsia" w:ascii="宋体" w:hAnsi="宋体" w:eastAsia="宋体" w:cs="宋体"/>
          <w:color w:val="auto"/>
          <w:kern w:val="2"/>
          <w:sz w:val="24"/>
          <w:highlight w:val="none"/>
          <w:u w:val="none"/>
        </w:rPr>
        <w:t>17701421886</w:t>
      </w:r>
    </w:p>
    <w:p w14:paraId="741E915B">
      <w:pPr>
        <w:keepNext w:val="0"/>
        <w:keepLines w:val="0"/>
        <w:pageBreakBefore w:val="0"/>
        <w:widowControl/>
        <w:kinsoku/>
        <w:wordWrap/>
        <w:overflowPunct/>
        <w:topLinePunct w:val="0"/>
        <w:autoSpaceDE/>
        <w:autoSpaceDN/>
        <w:bidi w:val="0"/>
        <w:adjustRightInd/>
        <w:spacing w:line="480" w:lineRule="exact"/>
        <w:ind w:firstLine="42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3.项目联系方式</w:t>
      </w:r>
    </w:p>
    <w:p w14:paraId="3F830A86">
      <w:pPr>
        <w:keepNext w:val="0"/>
        <w:keepLines w:val="0"/>
        <w:pageBreakBefore w:val="0"/>
        <w:widowControl/>
        <w:kinsoku/>
        <w:wordWrap/>
        <w:overflowPunct/>
        <w:topLinePunct w:val="0"/>
        <w:autoSpaceDE/>
        <w:autoSpaceDN/>
        <w:bidi w:val="0"/>
        <w:adjustRightInd/>
        <w:spacing w:line="480" w:lineRule="exact"/>
        <w:ind w:firstLine="42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项目联系人：</w:t>
      </w:r>
      <w:r>
        <w:rPr>
          <w:rFonts w:hint="eastAsia" w:ascii="宋体" w:hAnsi="宋体" w:eastAsia="宋体" w:cs="宋体"/>
          <w:color w:val="auto"/>
          <w:kern w:val="2"/>
          <w:sz w:val="24"/>
          <w:highlight w:val="none"/>
          <w:u w:val="none"/>
          <w:lang w:eastAsia="zh-CN"/>
        </w:rPr>
        <w:t>泰兴市</w:t>
      </w:r>
      <w:r>
        <w:rPr>
          <w:rFonts w:hint="eastAsia" w:ascii="宋体" w:hAnsi="宋体" w:cs="宋体"/>
          <w:color w:val="auto"/>
          <w:kern w:val="2"/>
          <w:sz w:val="24"/>
          <w:highlight w:val="none"/>
          <w:u w:val="none"/>
          <w:lang w:val="en-US" w:eastAsia="zh-CN"/>
        </w:rPr>
        <w:t>第二人民医院</w:t>
      </w:r>
      <w:r>
        <w:rPr>
          <w:rFonts w:hint="eastAsia" w:ascii="宋体" w:hAnsi="宋体" w:eastAsia="宋体" w:cs="宋体"/>
          <w:color w:val="auto"/>
          <w:kern w:val="2"/>
          <w:sz w:val="24"/>
          <w:szCs w:val="24"/>
          <w:highlight w:val="none"/>
        </w:rPr>
        <w:t xml:space="preserve">     </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w:t>
      </w:r>
      <w:r>
        <w:rPr>
          <w:rFonts w:hint="eastAsia" w:ascii="宋体" w:hAnsi="宋体" w:eastAsia="宋体" w:cs="宋体"/>
          <w:color w:val="auto"/>
          <w:kern w:val="2"/>
          <w:sz w:val="24"/>
          <w:szCs w:val="24"/>
          <w:highlight w:val="none"/>
          <w:lang w:val="en-US" w:eastAsia="zh-CN"/>
        </w:rPr>
        <w:t xml:space="preserve"> </w:t>
      </w:r>
      <w:r>
        <w:rPr>
          <w:rFonts w:hint="eastAsia" w:ascii="宋体" w:hAnsi="宋体" w:cs="宋体"/>
          <w:color w:val="auto"/>
          <w:kern w:val="2"/>
          <w:sz w:val="24"/>
          <w:szCs w:val="24"/>
          <w:highlight w:val="none"/>
          <w:lang w:val="en-US" w:eastAsia="zh-CN"/>
        </w:rPr>
        <w:t>李玮</w:t>
      </w:r>
      <w:r>
        <w:rPr>
          <w:rFonts w:hint="eastAsia" w:ascii="宋体" w:hAnsi="宋体" w:eastAsia="宋体" w:cs="宋体"/>
          <w:color w:val="auto"/>
          <w:kern w:val="2"/>
          <w:sz w:val="24"/>
          <w:szCs w:val="24"/>
          <w:highlight w:val="none"/>
        </w:rPr>
        <w:t xml:space="preserve">                </w:t>
      </w:r>
    </w:p>
    <w:p w14:paraId="7C90F682">
      <w:pPr>
        <w:keepNext w:val="0"/>
        <w:keepLines w:val="0"/>
        <w:pageBreakBefore w:val="0"/>
        <w:widowControl/>
        <w:kinsoku/>
        <w:wordWrap/>
        <w:overflowPunct/>
        <w:topLinePunct w:val="0"/>
        <w:autoSpaceDE/>
        <w:autoSpaceDN/>
        <w:bidi w:val="0"/>
        <w:spacing w:line="480" w:lineRule="exact"/>
        <w:ind w:firstLine="420"/>
        <w:jc w:val="left"/>
        <w:textAlignment w:val="auto"/>
        <w:rPr>
          <w:rFonts w:hint="default" w:ascii="宋体" w:hAnsi="宋体" w:eastAsia="宋体" w:cs="宋体"/>
          <w:color w:val="auto"/>
          <w:kern w:val="2"/>
          <w:sz w:val="24"/>
          <w:highlight w:val="none"/>
          <w:u w:val="none"/>
          <w:lang w:val="en-US"/>
        </w:rPr>
      </w:pPr>
      <w:r>
        <w:rPr>
          <w:rFonts w:hint="eastAsia" w:ascii="宋体" w:hAnsi="宋体" w:eastAsia="宋体" w:cs="宋体"/>
          <w:color w:val="auto"/>
          <w:kern w:val="2"/>
          <w:sz w:val="24"/>
          <w:szCs w:val="24"/>
          <w:highlight w:val="none"/>
        </w:rPr>
        <w:t>电</w:t>
      </w:r>
      <w:r>
        <w:rPr>
          <w:rFonts w:hint="eastAsia" w:ascii="宋体" w:hAnsi="宋体" w:eastAsia="宋体" w:cs="宋体"/>
          <w:color w:val="auto"/>
          <w:kern w:val="2"/>
          <w:sz w:val="24"/>
          <w:szCs w:val="24"/>
          <w:highlight w:val="none"/>
        </w:rPr>
        <w:tab/>
      </w:r>
      <w:r>
        <w:rPr>
          <w:rFonts w:hint="eastAsia" w:ascii="宋体" w:hAnsi="宋体" w:eastAsia="宋体" w:cs="宋体"/>
          <w:color w:val="auto"/>
          <w:kern w:val="2"/>
          <w:sz w:val="24"/>
          <w:szCs w:val="24"/>
          <w:highlight w:val="none"/>
        </w:rPr>
        <w:t>话：</w:t>
      </w:r>
      <w:r>
        <w:rPr>
          <w:rFonts w:hint="eastAsia" w:ascii="宋体" w:hAnsi="宋体" w:cs="宋体"/>
          <w:color w:val="auto"/>
          <w:kern w:val="2"/>
          <w:sz w:val="24"/>
          <w:szCs w:val="24"/>
          <w:highlight w:val="none"/>
          <w:lang w:val="en-US" w:eastAsia="zh-CN"/>
        </w:rPr>
        <w:t>15861072883</w:t>
      </w:r>
    </w:p>
    <w:p w14:paraId="4A6305F3">
      <w:pPr>
        <w:keepNext w:val="0"/>
        <w:keepLines w:val="0"/>
        <w:pageBreakBefore w:val="0"/>
        <w:widowControl/>
        <w:kinsoku/>
        <w:wordWrap/>
        <w:overflowPunct/>
        <w:topLinePunct w:val="0"/>
        <w:autoSpaceDE/>
        <w:autoSpaceDN/>
        <w:bidi w:val="0"/>
        <w:adjustRightInd/>
        <w:spacing w:line="480" w:lineRule="exact"/>
        <w:ind w:firstLine="42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项目联系人：江苏国兴建设项目管理有限公司   刘雪芬</w:t>
      </w:r>
    </w:p>
    <w:p w14:paraId="45E631C1">
      <w:pPr>
        <w:keepNext w:val="0"/>
        <w:keepLines w:val="0"/>
        <w:pageBreakBefore w:val="0"/>
        <w:widowControl/>
        <w:kinsoku/>
        <w:wordWrap/>
        <w:overflowPunct/>
        <w:topLinePunct w:val="0"/>
        <w:autoSpaceDE/>
        <w:autoSpaceDN/>
        <w:bidi w:val="0"/>
        <w:spacing w:line="480" w:lineRule="exact"/>
        <w:ind w:firstLine="480" w:firstLineChars="200"/>
        <w:jc w:val="both"/>
        <w:textAlignment w:val="auto"/>
        <w:outlineLvl w:val="1"/>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电</w:t>
      </w:r>
      <w:r>
        <w:rPr>
          <w:rFonts w:hint="eastAsia" w:ascii="宋体" w:hAnsi="宋体" w:eastAsia="宋体" w:cs="宋体"/>
          <w:color w:val="auto"/>
          <w:kern w:val="2"/>
          <w:sz w:val="24"/>
          <w:szCs w:val="24"/>
          <w:highlight w:val="none"/>
        </w:rPr>
        <w:tab/>
      </w:r>
      <w:r>
        <w:rPr>
          <w:rFonts w:hint="eastAsia" w:ascii="宋体" w:hAnsi="宋体" w:eastAsia="宋体" w:cs="宋体"/>
          <w:color w:val="auto"/>
          <w:kern w:val="2"/>
          <w:sz w:val="24"/>
          <w:szCs w:val="24"/>
          <w:highlight w:val="none"/>
        </w:rPr>
        <w:t>话：17701421886</w:t>
      </w:r>
    </w:p>
    <w:p w14:paraId="7A76C94A">
      <w:pPr>
        <w:widowControl/>
        <w:jc w:val="left"/>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p>
    <w:p w14:paraId="212C7DA7">
      <w:pPr>
        <w:widowControl/>
        <w:jc w:val="center"/>
        <w:outlineLvl w:val="0"/>
        <w:rPr>
          <w:rFonts w:hint="eastAsia" w:asciiTheme="majorEastAsia" w:hAnsiTheme="majorEastAsia" w:eastAsiaTheme="majorEastAsia" w:cstheme="majorEastAsia"/>
          <w:b/>
          <w:color w:val="auto"/>
          <w:sz w:val="32"/>
          <w:szCs w:val="32"/>
          <w:highlight w:val="none"/>
        </w:rPr>
      </w:pPr>
      <w:bookmarkStart w:id="52" w:name="_Toc987"/>
      <w:r>
        <w:rPr>
          <w:rFonts w:hint="eastAsia" w:asciiTheme="majorEastAsia" w:hAnsiTheme="majorEastAsia" w:eastAsiaTheme="majorEastAsia" w:cstheme="majorEastAsia"/>
          <w:b/>
          <w:color w:val="auto"/>
          <w:sz w:val="32"/>
          <w:szCs w:val="32"/>
          <w:highlight w:val="none"/>
        </w:rPr>
        <w:t>第二章 供应商须知</w:t>
      </w:r>
      <w:bookmarkEnd w:id="43"/>
      <w:bookmarkEnd w:id="52"/>
    </w:p>
    <w:p w14:paraId="651A8546">
      <w:pPr>
        <w:rPr>
          <w:rFonts w:hint="eastAsia" w:asciiTheme="majorEastAsia" w:hAnsiTheme="majorEastAsia" w:eastAsiaTheme="majorEastAsia" w:cstheme="majorEastAsia"/>
          <w:color w:val="auto"/>
          <w:highlight w:val="none"/>
        </w:rPr>
      </w:pPr>
      <w:bookmarkStart w:id="53" w:name="_Toc426469870"/>
      <w:r>
        <w:rPr>
          <w:rFonts w:hint="eastAsia" w:asciiTheme="majorEastAsia" w:hAnsiTheme="majorEastAsia" w:eastAsiaTheme="majorEastAsia" w:cstheme="majorEastAsia"/>
          <w:color w:val="auto"/>
          <w:highlight w:val="none"/>
        </w:rPr>
        <w:t>供应商须知前附表</w:t>
      </w:r>
      <w:bookmarkEnd w:id="53"/>
    </w:p>
    <w:tbl>
      <w:tblPr>
        <w:tblStyle w:val="26"/>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381"/>
        <w:gridCol w:w="140"/>
        <w:gridCol w:w="6018"/>
      </w:tblGrid>
      <w:tr w14:paraId="08377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vAlign w:val="center"/>
          </w:tcPr>
          <w:p w14:paraId="05D2E4A4">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条款号</w:t>
            </w:r>
          </w:p>
        </w:tc>
        <w:tc>
          <w:tcPr>
            <w:tcW w:w="2381" w:type="dxa"/>
            <w:vAlign w:val="center"/>
          </w:tcPr>
          <w:p w14:paraId="5F006A40">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条 款 名 称</w:t>
            </w:r>
          </w:p>
        </w:tc>
        <w:tc>
          <w:tcPr>
            <w:tcW w:w="6158" w:type="dxa"/>
            <w:gridSpan w:val="2"/>
            <w:vAlign w:val="center"/>
          </w:tcPr>
          <w:p w14:paraId="43AE2671">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编  列  内  容</w:t>
            </w:r>
          </w:p>
        </w:tc>
      </w:tr>
      <w:tr w14:paraId="5DEB2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vAlign w:val="center"/>
          </w:tcPr>
          <w:p w14:paraId="569D9B81">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1.1.2</w:t>
            </w:r>
          </w:p>
        </w:tc>
        <w:tc>
          <w:tcPr>
            <w:tcW w:w="2381" w:type="dxa"/>
            <w:vAlign w:val="center"/>
          </w:tcPr>
          <w:p w14:paraId="4B135F75">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招标人</w:t>
            </w:r>
          </w:p>
        </w:tc>
        <w:tc>
          <w:tcPr>
            <w:tcW w:w="6158" w:type="dxa"/>
            <w:gridSpan w:val="2"/>
            <w:vAlign w:val="top"/>
          </w:tcPr>
          <w:p w14:paraId="4BD56FE4">
            <w:pPr>
              <w:keepNext w:val="0"/>
              <w:keepLines w:val="0"/>
              <w:pageBreakBefore w:val="0"/>
              <w:widowControl/>
              <w:kinsoku/>
              <w:wordWrap/>
              <w:overflowPunct/>
              <w:topLinePunct w:val="0"/>
              <w:autoSpaceDE/>
              <w:autoSpaceDN/>
              <w:bidi w:val="0"/>
              <w:adjustRightInd w:val="0"/>
              <w:snapToGrid w:val="0"/>
              <w:spacing w:line="420" w:lineRule="exact"/>
              <w:ind w:firstLine="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名称：</w:t>
            </w:r>
            <w:r>
              <w:rPr>
                <w:rFonts w:hint="eastAsia" w:ascii="宋体" w:hAnsi="宋体" w:eastAsia="宋体" w:cs="宋体"/>
                <w:color w:val="auto"/>
                <w:kern w:val="0"/>
                <w:sz w:val="24"/>
                <w:szCs w:val="24"/>
                <w:highlight w:val="none"/>
                <w:lang w:eastAsia="zh-CN"/>
              </w:rPr>
              <w:t>泰兴市</w:t>
            </w:r>
            <w:r>
              <w:rPr>
                <w:rFonts w:hint="eastAsia" w:ascii="宋体" w:hAnsi="宋体" w:eastAsia="宋体" w:cs="宋体"/>
                <w:color w:val="auto"/>
                <w:kern w:val="0"/>
                <w:sz w:val="24"/>
                <w:szCs w:val="24"/>
                <w:highlight w:val="none"/>
                <w:lang w:val="en-US" w:eastAsia="zh-CN"/>
              </w:rPr>
              <w:t>第二人民医院</w:t>
            </w:r>
          </w:p>
          <w:p w14:paraId="031AB246">
            <w:pPr>
              <w:keepNext w:val="0"/>
              <w:keepLines w:val="0"/>
              <w:pageBreakBefore w:val="0"/>
              <w:widowControl/>
              <w:kinsoku/>
              <w:wordWrap/>
              <w:overflowPunct/>
              <w:topLinePunct w:val="0"/>
              <w:autoSpaceDE/>
              <w:autoSpaceDN/>
              <w:bidi w:val="0"/>
              <w:adjustRightInd w:val="0"/>
              <w:snapToGrid w:val="0"/>
              <w:spacing w:line="420" w:lineRule="exact"/>
              <w:ind w:firstLine="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地</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eastAsia="zh-CN"/>
              </w:rPr>
              <w:t>址：泰兴市黄桥镇银杏西路588号</w:t>
            </w:r>
          </w:p>
          <w:p w14:paraId="6FE44639">
            <w:pPr>
              <w:keepNext w:val="0"/>
              <w:keepLines w:val="0"/>
              <w:pageBreakBefore w:val="0"/>
              <w:widowControl/>
              <w:kinsoku/>
              <w:wordWrap/>
              <w:overflowPunct/>
              <w:topLinePunct w:val="0"/>
              <w:autoSpaceDE/>
              <w:autoSpaceDN/>
              <w:bidi w:val="0"/>
              <w:adjustRightInd w:val="0"/>
              <w:snapToGrid w:val="0"/>
              <w:spacing w:line="420" w:lineRule="exact"/>
              <w:ind w:firstLine="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项目联系人</w:t>
            </w: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李玮</w:t>
            </w:r>
            <w:r>
              <w:rPr>
                <w:rFonts w:hint="eastAsia" w:ascii="宋体" w:hAnsi="宋体" w:eastAsia="宋体" w:cs="宋体"/>
                <w:color w:val="auto"/>
                <w:kern w:val="0"/>
                <w:sz w:val="24"/>
                <w:szCs w:val="24"/>
                <w:highlight w:val="none"/>
              </w:rPr>
              <w:t xml:space="preserve">                  </w:t>
            </w:r>
          </w:p>
          <w:p w14:paraId="276B89E5">
            <w:pPr>
              <w:keepNext w:val="0"/>
              <w:keepLines w:val="0"/>
              <w:pageBreakBefore w:val="0"/>
              <w:kinsoku/>
              <w:wordWrap/>
              <w:overflowPunct/>
              <w:bidi w:val="0"/>
              <w:spacing w:line="360" w:lineRule="exact"/>
              <w:rPr>
                <w:rFonts w:hint="eastAsia" w:asciiTheme="majorEastAsia" w:hAnsiTheme="majorEastAsia" w:eastAsiaTheme="majorEastAsia" w:cstheme="majorEastAsia"/>
                <w:color w:val="auto"/>
                <w:highlight w:val="none"/>
              </w:rPr>
            </w:pPr>
            <w:r>
              <w:rPr>
                <w:rFonts w:hint="eastAsia" w:ascii="宋体" w:hAnsi="宋体" w:eastAsia="宋体" w:cs="宋体"/>
                <w:color w:val="auto"/>
                <w:kern w:val="0"/>
                <w:sz w:val="24"/>
                <w:szCs w:val="24"/>
                <w:highlight w:val="none"/>
              </w:rPr>
              <w:t>电</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话：</w:t>
            </w:r>
            <w:r>
              <w:rPr>
                <w:rFonts w:hint="eastAsia" w:ascii="宋体" w:hAnsi="宋体" w:cs="宋体"/>
                <w:color w:val="auto"/>
                <w:kern w:val="2"/>
                <w:sz w:val="24"/>
                <w:szCs w:val="24"/>
                <w:highlight w:val="none"/>
                <w:lang w:val="en-US" w:eastAsia="zh-CN"/>
              </w:rPr>
              <w:t>15861072883</w:t>
            </w:r>
          </w:p>
        </w:tc>
      </w:tr>
      <w:tr w14:paraId="3B86F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vAlign w:val="center"/>
          </w:tcPr>
          <w:p w14:paraId="086C4539">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1.1.3</w:t>
            </w:r>
          </w:p>
        </w:tc>
        <w:tc>
          <w:tcPr>
            <w:tcW w:w="2381" w:type="dxa"/>
            <w:vAlign w:val="center"/>
          </w:tcPr>
          <w:p w14:paraId="28208F43">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采购代理机构</w:t>
            </w:r>
          </w:p>
        </w:tc>
        <w:tc>
          <w:tcPr>
            <w:tcW w:w="6158" w:type="dxa"/>
            <w:gridSpan w:val="2"/>
            <w:vAlign w:val="top"/>
          </w:tcPr>
          <w:p w14:paraId="25A0902A">
            <w:pPr>
              <w:keepNext w:val="0"/>
              <w:keepLines w:val="0"/>
              <w:pageBreakBefore w:val="0"/>
              <w:kinsoku/>
              <w:wordWrap/>
              <w:overflowPunct/>
              <w:bidi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江苏国兴建设项目管理有限公司</w:t>
            </w:r>
          </w:p>
          <w:p w14:paraId="7FCE4C83">
            <w:pPr>
              <w:keepNext w:val="0"/>
              <w:keepLines w:val="0"/>
              <w:pageBreakBefore w:val="0"/>
              <w:kinsoku/>
              <w:wordWrap/>
              <w:overflowPunct/>
              <w:bidi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地址：泰兴市</w:t>
            </w:r>
            <w:r>
              <w:rPr>
                <w:rFonts w:hint="eastAsia" w:ascii="宋体" w:hAnsi="宋体" w:eastAsia="宋体" w:cs="宋体"/>
                <w:color w:val="auto"/>
                <w:sz w:val="24"/>
                <w:szCs w:val="24"/>
                <w:highlight w:val="none"/>
                <w:lang w:val="en-US" w:eastAsia="zh-CN"/>
              </w:rPr>
              <w:t>政务服务中心十</w:t>
            </w:r>
            <w:r>
              <w:rPr>
                <w:rFonts w:hint="eastAsia" w:ascii="宋体" w:hAnsi="宋体" w:eastAsia="宋体" w:cs="宋体"/>
                <w:color w:val="auto"/>
                <w:sz w:val="24"/>
                <w:szCs w:val="24"/>
                <w:highlight w:val="none"/>
                <w:lang w:eastAsia="zh-CN"/>
              </w:rPr>
              <w:t>楼</w:t>
            </w:r>
            <w:r>
              <w:rPr>
                <w:rFonts w:hint="eastAsia" w:ascii="宋体" w:hAnsi="宋体" w:cs="宋体"/>
                <w:color w:val="auto"/>
                <w:sz w:val="24"/>
                <w:szCs w:val="24"/>
                <w:highlight w:val="none"/>
                <w:lang w:val="en-US" w:eastAsia="zh-CN"/>
              </w:rPr>
              <w:t>1003</w:t>
            </w:r>
            <w:r>
              <w:rPr>
                <w:rFonts w:hint="eastAsia" w:ascii="宋体" w:hAnsi="宋体" w:eastAsia="宋体" w:cs="宋体"/>
                <w:color w:val="auto"/>
                <w:sz w:val="24"/>
                <w:szCs w:val="24"/>
                <w:highlight w:val="none"/>
              </w:rPr>
              <w:t>（泰兴市文昌东路62号）</w:t>
            </w:r>
          </w:p>
          <w:p w14:paraId="1B1455D0">
            <w:pPr>
              <w:keepNext w:val="0"/>
              <w:keepLines w:val="0"/>
              <w:pageBreakBefore w:val="0"/>
              <w:kinsoku/>
              <w:wordWrap/>
              <w:overflowPunct/>
              <w:bidi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eastAsia="zh-CN"/>
              </w:rPr>
              <w:t>刘雪芬</w:t>
            </w:r>
          </w:p>
          <w:p w14:paraId="5A39A951">
            <w:pPr>
              <w:keepNext w:val="0"/>
              <w:keepLines w:val="0"/>
              <w:pageBreakBefore w:val="0"/>
              <w:kinsoku/>
              <w:wordWrap/>
              <w:overflowPunct/>
              <w:bidi w:val="0"/>
              <w:spacing w:line="360" w:lineRule="exact"/>
              <w:rPr>
                <w:rFonts w:hint="eastAsia" w:asciiTheme="majorEastAsia" w:hAnsiTheme="majorEastAsia" w:eastAsiaTheme="majorEastAsia" w:cstheme="majorEastAsia"/>
                <w:color w:val="auto"/>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17701421886</w:t>
            </w:r>
          </w:p>
        </w:tc>
      </w:tr>
      <w:tr w14:paraId="5C6CD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089" w:type="dxa"/>
            <w:vAlign w:val="center"/>
          </w:tcPr>
          <w:p w14:paraId="30241AC3">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1.1.4</w:t>
            </w:r>
          </w:p>
        </w:tc>
        <w:tc>
          <w:tcPr>
            <w:tcW w:w="2381" w:type="dxa"/>
            <w:vAlign w:val="center"/>
          </w:tcPr>
          <w:p w14:paraId="0A536D59">
            <w:pPr>
              <w:adjustRightInd w:val="0"/>
              <w:snapToGrid w:val="0"/>
              <w:spacing w:line="42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项目名称及</w:t>
            </w:r>
          </w:p>
          <w:p w14:paraId="7A6B0331">
            <w:pPr>
              <w:adjustRightInd w:val="0"/>
              <w:snapToGrid w:val="0"/>
              <w:spacing w:line="42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项目编号</w:t>
            </w:r>
          </w:p>
        </w:tc>
        <w:tc>
          <w:tcPr>
            <w:tcW w:w="6158" w:type="dxa"/>
            <w:gridSpan w:val="2"/>
          </w:tcPr>
          <w:p w14:paraId="2FB530CD">
            <w:pPr>
              <w:adjustRightInd w:val="0"/>
              <w:snapToGrid w:val="0"/>
              <w:spacing w:line="420" w:lineRule="exact"/>
              <w:jc w:val="left"/>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项目名称：</w:t>
            </w:r>
            <w:r>
              <w:rPr>
                <w:rFonts w:hint="eastAsia" w:asciiTheme="majorEastAsia" w:hAnsiTheme="majorEastAsia" w:eastAsiaTheme="majorEastAsia" w:cstheme="majorEastAsia"/>
                <w:color w:val="auto"/>
                <w:highlight w:val="none"/>
                <w:lang w:eastAsia="zh-CN"/>
              </w:rPr>
              <w:t>泰兴市第二人民医院卒中胸痛信息系统采购</w:t>
            </w:r>
          </w:p>
          <w:p w14:paraId="69B6E079">
            <w:pPr>
              <w:adjustRightInd w:val="0"/>
              <w:snapToGrid w:val="0"/>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项目编号：</w:t>
            </w:r>
            <w:r>
              <w:rPr>
                <w:rFonts w:hint="eastAsia" w:asciiTheme="majorEastAsia" w:hAnsiTheme="majorEastAsia" w:eastAsiaTheme="majorEastAsia" w:cstheme="majorEastAsia"/>
                <w:color w:val="auto"/>
                <w:highlight w:val="none"/>
                <w:lang w:eastAsia="zh-CN"/>
              </w:rPr>
              <w:t>JSZC-321283-GXGL-G2025-0046</w:t>
            </w:r>
            <w:r>
              <w:rPr>
                <w:color w:val="auto"/>
                <w:highlight w:val="none"/>
              </w:rPr>
              <w:fldChar w:fldCharType="begin"/>
            </w:r>
            <w:r>
              <w:rPr>
                <w:color w:val="auto"/>
                <w:highlight w:val="none"/>
              </w:rPr>
              <w:instrText xml:space="preserve"> HYPERLINK "javascript:void(0);" </w:instrText>
            </w:r>
            <w:r>
              <w:rPr>
                <w:color w:val="auto"/>
                <w:highlight w:val="none"/>
              </w:rPr>
              <w:fldChar w:fldCharType="separate"/>
            </w:r>
            <w:r>
              <w:rPr>
                <w:color w:val="auto"/>
                <w:highlight w:val="none"/>
              </w:rPr>
              <w:fldChar w:fldCharType="end"/>
            </w:r>
          </w:p>
        </w:tc>
      </w:tr>
      <w:tr w14:paraId="613CF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89" w:type="dxa"/>
            <w:vAlign w:val="center"/>
          </w:tcPr>
          <w:p w14:paraId="788A4657">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1.2.1</w:t>
            </w:r>
          </w:p>
        </w:tc>
        <w:tc>
          <w:tcPr>
            <w:tcW w:w="2381" w:type="dxa"/>
            <w:vAlign w:val="center"/>
          </w:tcPr>
          <w:p w14:paraId="168212F5">
            <w:pPr>
              <w:adjustRightInd w:val="0"/>
              <w:snapToGrid w:val="0"/>
              <w:spacing w:line="420" w:lineRule="exact"/>
              <w:jc w:val="center"/>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付款方式</w:t>
            </w:r>
          </w:p>
        </w:tc>
        <w:tc>
          <w:tcPr>
            <w:tcW w:w="6158" w:type="dxa"/>
            <w:gridSpan w:val="2"/>
            <w:vAlign w:val="center"/>
          </w:tcPr>
          <w:p w14:paraId="757755B4">
            <w:pPr>
              <w:adjustRightInd w:val="0"/>
              <w:snapToGrid w:val="0"/>
              <w:spacing w:line="420" w:lineRule="exact"/>
              <w:jc w:val="left"/>
              <w:rPr>
                <w:rFonts w:hint="eastAsia" w:asciiTheme="majorEastAsia" w:hAnsiTheme="majorEastAsia" w:eastAsiaTheme="majorEastAsia" w:cstheme="majorEastAsia"/>
                <w:color w:val="auto"/>
                <w:highlight w:val="none"/>
                <w:lang w:eastAsia="zh-CN"/>
              </w:rPr>
            </w:pPr>
            <w:bookmarkStart w:id="54" w:name="OLE_LINK15"/>
            <w:r>
              <w:rPr>
                <w:rFonts w:hint="eastAsia" w:asciiTheme="majorEastAsia" w:hAnsiTheme="majorEastAsia" w:eastAsiaTheme="majorEastAsia" w:cstheme="majorEastAsia"/>
                <w:color w:val="auto"/>
                <w:highlight w:val="none"/>
                <w:lang w:eastAsia="zh-CN"/>
              </w:rPr>
              <w:t>合同签订后，</w:t>
            </w:r>
            <w:r>
              <w:rPr>
                <w:rFonts w:hint="eastAsia" w:asciiTheme="majorEastAsia" w:hAnsiTheme="majorEastAsia" w:eastAsiaTheme="majorEastAsia" w:cstheme="majorEastAsia"/>
                <w:color w:val="auto"/>
                <w:highlight w:val="none"/>
                <w:lang w:val="en-US" w:eastAsia="zh-CN"/>
              </w:rPr>
              <w:t>支付合同</w:t>
            </w:r>
            <w:r>
              <w:rPr>
                <w:rFonts w:hint="eastAsia" w:asciiTheme="majorEastAsia" w:hAnsiTheme="majorEastAsia" w:eastAsiaTheme="majorEastAsia" w:cstheme="majorEastAsia"/>
                <w:color w:val="auto"/>
                <w:highlight w:val="none"/>
                <w:lang w:eastAsia="zh-CN"/>
              </w:rPr>
              <w:t>款</w:t>
            </w:r>
            <w:r>
              <w:rPr>
                <w:rFonts w:hint="eastAsia" w:asciiTheme="majorEastAsia" w:hAnsiTheme="majorEastAsia" w:eastAsiaTheme="majorEastAsia" w:cstheme="majorEastAsia"/>
                <w:color w:val="auto"/>
                <w:highlight w:val="none"/>
                <w:lang w:val="en-US" w:eastAsia="zh-CN"/>
              </w:rPr>
              <w:t>的30%为预付款；</w:t>
            </w:r>
            <w:r>
              <w:rPr>
                <w:rFonts w:hint="eastAsia" w:asciiTheme="majorEastAsia" w:hAnsiTheme="majorEastAsia" w:eastAsiaTheme="majorEastAsia" w:cstheme="majorEastAsia"/>
                <w:color w:val="auto"/>
                <w:highlight w:val="none"/>
                <w:lang w:eastAsia="zh-CN"/>
              </w:rPr>
              <w:t>项目上线试运行至少一月后进入项目验收流程，项目整体验收合格后，甲方向乙方支付</w:t>
            </w:r>
            <w:r>
              <w:rPr>
                <w:rFonts w:hint="eastAsia" w:asciiTheme="majorEastAsia" w:hAnsiTheme="majorEastAsia" w:eastAsiaTheme="majorEastAsia" w:cstheme="majorEastAsia"/>
                <w:color w:val="auto"/>
                <w:highlight w:val="none"/>
                <w:lang w:val="en-US" w:eastAsia="zh-CN"/>
              </w:rPr>
              <w:t>至</w:t>
            </w:r>
            <w:r>
              <w:rPr>
                <w:rFonts w:hint="eastAsia" w:asciiTheme="majorEastAsia" w:hAnsiTheme="majorEastAsia" w:eastAsiaTheme="majorEastAsia" w:cstheme="majorEastAsia"/>
                <w:color w:val="auto"/>
                <w:highlight w:val="none"/>
                <w:lang w:eastAsia="zh-CN"/>
              </w:rPr>
              <w:t>本项目合同款的60%，验收合格半年后支付</w:t>
            </w:r>
            <w:r>
              <w:rPr>
                <w:rFonts w:hint="eastAsia" w:asciiTheme="majorEastAsia" w:hAnsiTheme="majorEastAsia" w:eastAsiaTheme="majorEastAsia" w:cstheme="majorEastAsia"/>
                <w:color w:val="auto"/>
                <w:highlight w:val="none"/>
                <w:lang w:val="en-US" w:eastAsia="zh-CN"/>
              </w:rPr>
              <w:t>至</w:t>
            </w:r>
            <w:r>
              <w:rPr>
                <w:rFonts w:hint="eastAsia" w:asciiTheme="majorEastAsia" w:hAnsiTheme="majorEastAsia" w:eastAsiaTheme="majorEastAsia" w:cstheme="majorEastAsia"/>
                <w:color w:val="auto"/>
                <w:highlight w:val="none"/>
                <w:lang w:eastAsia="zh-CN"/>
              </w:rPr>
              <w:t>本项目合同款的</w:t>
            </w:r>
            <w:r>
              <w:rPr>
                <w:rFonts w:hint="eastAsia" w:asciiTheme="majorEastAsia" w:hAnsiTheme="majorEastAsia" w:eastAsiaTheme="majorEastAsia" w:cstheme="majorEastAsia"/>
                <w:color w:val="auto"/>
                <w:highlight w:val="none"/>
                <w:lang w:val="en-US" w:eastAsia="zh-CN"/>
              </w:rPr>
              <w:t>9</w:t>
            </w:r>
            <w:r>
              <w:rPr>
                <w:rFonts w:hint="eastAsia" w:asciiTheme="majorEastAsia" w:hAnsiTheme="majorEastAsia" w:eastAsiaTheme="majorEastAsia" w:cstheme="majorEastAsia"/>
                <w:color w:val="auto"/>
                <w:highlight w:val="none"/>
                <w:lang w:eastAsia="zh-CN"/>
              </w:rPr>
              <w:t>0%，免费维保期满</w:t>
            </w:r>
            <w:r>
              <w:rPr>
                <w:rFonts w:hint="eastAsia" w:asciiTheme="majorEastAsia" w:hAnsiTheme="majorEastAsia" w:eastAsiaTheme="majorEastAsia" w:cstheme="majorEastAsia"/>
                <w:color w:val="auto"/>
                <w:highlight w:val="none"/>
                <w:lang w:val="en-US" w:eastAsia="zh-CN"/>
              </w:rPr>
              <w:t>后一次性</w:t>
            </w:r>
            <w:r>
              <w:rPr>
                <w:rFonts w:hint="eastAsia" w:asciiTheme="majorEastAsia" w:hAnsiTheme="majorEastAsia" w:eastAsiaTheme="majorEastAsia" w:cstheme="majorEastAsia"/>
                <w:color w:val="auto"/>
                <w:highlight w:val="none"/>
                <w:lang w:eastAsia="zh-CN"/>
              </w:rPr>
              <w:t>付清余款。</w:t>
            </w:r>
          </w:p>
          <w:bookmarkEnd w:id="54"/>
          <w:p w14:paraId="6F9F47CA">
            <w:pPr>
              <w:adjustRightInd w:val="0"/>
              <w:snapToGrid w:val="0"/>
              <w:spacing w:line="420" w:lineRule="exact"/>
              <w:jc w:val="left"/>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val="en-US" w:eastAsia="zh-CN"/>
              </w:rPr>
              <w:t>维保期：验收合格后，提供一年免费维保。</w:t>
            </w:r>
          </w:p>
        </w:tc>
      </w:tr>
      <w:tr w14:paraId="78FA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89" w:type="dxa"/>
            <w:vAlign w:val="center"/>
          </w:tcPr>
          <w:p w14:paraId="3A2771C0">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1.3.1</w:t>
            </w:r>
          </w:p>
        </w:tc>
        <w:tc>
          <w:tcPr>
            <w:tcW w:w="2381" w:type="dxa"/>
            <w:vAlign w:val="center"/>
          </w:tcPr>
          <w:p w14:paraId="6F268B12">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采购范围</w:t>
            </w:r>
          </w:p>
        </w:tc>
        <w:tc>
          <w:tcPr>
            <w:tcW w:w="6158" w:type="dxa"/>
            <w:gridSpan w:val="2"/>
            <w:vAlign w:val="center"/>
          </w:tcPr>
          <w:p w14:paraId="679DA0D4">
            <w:pPr>
              <w:adjustRightInd w:val="0"/>
              <w:snapToGrid w:val="0"/>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见采购需求</w:t>
            </w:r>
          </w:p>
        </w:tc>
      </w:tr>
      <w:tr w14:paraId="08DCD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089" w:type="dxa"/>
            <w:vAlign w:val="center"/>
          </w:tcPr>
          <w:p w14:paraId="42F39FAE">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1.3.2</w:t>
            </w:r>
          </w:p>
        </w:tc>
        <w:tc>
          <w:tcPr>
            <w:tcW w:w="2381" w:type="dxa"/>
            <w:vAlign w:val="center"/>
          </w:tcPr>
          <w:p w14:paraId="6C825852">
            <w:pPr>
              <w:adjustRightInd w:val="0"/>
              <w:snapToGrid w:val="0"/>
              <w:spacing w:line="42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服务期限</w:t>
            </w:r>
          </w:p>
        </w:tc>
        <w:tc>
          <w:tcPr>
            <w:tcW w:w="6158" w:type="dxa"/>
            <w:gridSpan w:val="2"/>
            <w:vAlign w:val="center"/>
          </w:tcPr>
          <w:p w14:paraId="7D661421">
            <w:pPr>
              <w:adjustRightInd w:val="0"/>
              <w:snapToGrid w:val="0"/>
              <w:spacing w:line="420" w:lineRule="exact"/>
              <w:jc w:val="left"/>
              <w:rPr>
                <w:rFonts w:hint="eastAsia" w:asciiTheme="majorEastAsia" w:hAnsiTheme="majorEastAsia" w:eastAsiaTheme="majorEastAsia" w:cstheme="majorEastAsia"/>
                <w:color w:val="auto"/>
                <w:highlight w:val="none"/>
              </w:rPr>
            </w:pPr>
            <w:r>
              <w:rPr>
                <w:rFonts w:hint="eastAsia" w:ascii="宋体" w:hAnsi="宋体"/>
                <w:color w:val="auto"/>
                <w:szCs w:val="21"/>
                <w:highlight w:val="none"/>
              </w:rPr>
              <w:t>见招标公告</w:t>
            </w:r>
          </w:p>
        </w:tc>
      </w:tr>
      <w:tr w14:paraId="1F7E2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vAlign w:val="center"/>
          </w:tcPr>
          <w:p w14:paraId="0D06ABC1">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1.4.2</w:t>
            </w:r>
          </w:p>
        </w:tc>
        <w:tc>
          <w:tcPr>
            <w:tcW w:w="2381" w:type="dxa"/>
            <w:vAlign w:val="center"/>
          </w:tcPr>
          <w:p w14:paraId="19A787DF">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要求供应商具备的特定条件</w:t>
            </w:r>
          </w:p>
        </w:tc>
        <w:tc>
          <w:tcPr>
            <w:tcW w:w="6158" w:type="dxa"/>
            <w:gridSpan w:val="2"/>
            <w:vAlign w:val="center"/>
          </w:tcPr>
          <w:p w14:paraId="526574EF">
            <w:pPr>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见招标公告“申请人的资格要求”</w:t>
            </w:r>
          </w:p>
        </w:tc>
      </w:tr>
      <w:tr w14:paraId="480AE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89" w:type="dxa"/>
            <w:vAlign w:val="center"/>
          </w:tcPr>
          <w:p w14:paraId="4F861749">
            <w:pPr>
              <w:spacing w:line="32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1.8.2</w:t>
            </w:r>
          </w:p>
        </w:tc>
        <w:tc>
          <w:tcPr>
            <w:tcW w:w="2381" w:type="dxa"/>
            <w:vAlign w:val="center"/>
          </w:tcPr>
          <w:p w14:paraId="08AE7E4D">
            <w:pPr>
              <w:spacing w:line="32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偏离</w:t>
            </w:r>
          </w:p>
        </w:tc>
        <w:tc>
          <w:tcPr>
            <w:tcW w:w="6158" w:type="dxa"/>
            <w:gridSpan w:val="2"/>
            <w:vAlign w:val="center"/>
          </w:tcPr>
          <w:p w14:paraId="53056D7C">
            <w:pPr>
              <w:pStyle w:val="9"/>
              <w:spacing w:line="320" w:lineRule="exact"/>
              <w:rPr>
                <w:rFonts w:hint="eastAsia" w:ascii="宋体" w:hAnsi="宋体" w:cs="宋体"/>
                <w:color w:val="auto"/>
                <w:sz w:val="24"/>
                <w:szCs w:val="24"/>
                <w:lang w:eastAsia="zh-CN"/>
              </w:rPr>
            </w:pPr>
            <w:bookmarkStart w:id="55" w:name="FEfe800446baa24252acf6b14953dc4897"/>
            <w:bookmarkEnd w:id="55"/>
            <w:bookmarkStart w:id="56" w:name="FBfe800446baa24252acf6b14953dc4897"/>
            <w:bookmarkEnd w:id="56"/>
            <w:r>
              <w:rPr>
                <w:rFonts w:ascii="宋体" w:hAnsi="宋体" w:eastAsia="宋体" w:cs="宋体"/>
                <w:color w:val="auto"/>
                <w:sz w:val="24"/>
                <w:szCs w:val="24"/>
              </w:rPr>
              <w:t>本招标文件中的技术要求</w:t>
            </w:r>
            <w:r>
              <w:rPr>
                <w:rFonts w:hint="eastAsia" w:ascii="宋体" w:hAnsi="宋体" w:eastAsia="宋体" w:cs="宋体"/>
                <w:color w:val="auto"/>
                <w:sz w:val="24"/>
                <w:szCs w:val="24"/>
              </w:rPr>
              <w:t>标注为“★”的</w:t>
            </w:r>
            <w:r>
              <w:rPr>
                <w:rFonts w:hint="eastAsia" w:ascii="宋体" w:hAnsi="宋体" w:cs="宋体"/>
                <w:color w:val="auto"/>
                <w:sz w:val="24"/>
                <w:szCs w:val="24"/>
                <w:lang w:val="en-US" w:eastAsia="zh-CN"/>
              </w:rPr>
              <w:t>为</w:t>
            </w:r>
            <w:r>
              <w:rPr>
                <w:rFonts w:hint="eastAsia" w:ascii="宋体" w:hAnsi="宋体" w:eastAsia="宋体" w:cs="宋体"/>
                <w:color w:val="auto"/>
                <w:sz w:val="24"/>
                <w:szCs w:val="24"/>
                <w:lang w:val="en-US" w:eastAsia="zh-CN"/>
              </w:rPr>
              <w:t>实质性条款：要求供应商逐条响应（提供承诺函），实质性条款不满足，视为无效投标</w:t>
            </w:r>
            <w:r>
              <w:rPr>
                <w:rFonts w:hint="eastAsia" w:ascii="宋体" w:hAnsi="宋体" w:cs="宋体"/>
                <w:color w:val="auto"/>
                <w:sz w:val="24"/>
                <w:szCs w:val="24"/>
                <w:lang w:eastAsia="zh-CN"/>
              </w:rPr>
              <w:t>；</w:t>
            </w:r>
          </w:p>
          <w:p w14:paraId="67A72557">
            <w:pPr>
              <w:pStyle w:val="9"/>
              <w:spacing w:line="320" w:lineRule="exact"/>
              <w:rPr>
                <w:rFonts w:hint="default" w:asciiTheme="majorEastAsia" w:hAnsiTheme="majorEastAsia" w:eastAsiaTheme="majorEastAsia" w:cstheme="majorEastAsia"/>
                <w:color w:val="auto"/>
                <w:highlight w:val="none"/>
                <w:lang w:val="en-US" w:eastAsia="zh-CN"/>
              </w:rPr>
            </w:pPr>
            <w:r>
              <w:rPr>
                <w:rFonts w:hint="eastAsia" w:ascii="宋体" w:hAnsi="宋体" w:cs="宋体"/>
                <w:color w:val="auto"/>
                <w:sz w:val="24"/>
                <w:szCs w:val="24"/>
                <w:lang w:eastAsia="zh-CN"/>
              </w:rPr>
              <w:t>其它参数</w:t>
            </w:r>
            <w:r>
              <w:rPr>
                <w:rFonts w:ascii="宋体" w:hAnsi="宋体" w:eastAsia="宋体" w:cs="宋体"/>
                <w:color w:val="auto"/>
                <w:sz w:val="24"/>
                <w:szCs w:val="24"/>
              </w:rPr>
              <w:t>允许</w:t>
            </w:r>
            <w:r>
              <w:rPr>
                <w:rFonts w:hint="eastAsia" w:ascii="宋体" w:hAnsi="宋体" w:cs="宋体"/>
                <w:color w:val="auto"/>
                <w:sz w:val="24"/>
                <w:szCs w:val="24"/>
                <w:lang w:eastAsia="zh-CN"/>
              </w:rPr>
              <w:t>正偏离和</w:t>
            </w:r>
            <w:r>
              <w:rPr>
                <w:rFonts w:ascii="宋体" w:hAnsi="宋体" w:eastAsia="宋体" w:cs="宋体"/>
                <w:color w:val="auto"/>
                <w:sz w:val="24"/>
                <w:szCs w:val="24"/>
              </w:rPr>
              <w:t>负偏离</w:t>
            </w:r>
            <w:r>
              <w:rPr>
                <w:rFonts w:hint="eastAsia" w:ascii="宋体" w:hAnsi="宋体" w:cs="宋体"/>
                <w:color w:val="auto"/>
                <w:sz w:val="24"/>
                <w:szCs w:val="24"/>
                <w:lang w:eastAsia="zh-CN"/>
              </w:rPr>
              <w:t>，详见技术参数及评分标准</w:t>
            </w:r>
            <w:r>
              <w:rPr>
                <w:rFonts w:ascii="宋体" w:hAnsi="宋体" w:eastAsia="宋体" w:cs="宋体"/>
                <w:color w:val="auto"/>
                <w:sz w:val="24"/>
                <w:szCs w:val="24"/>
              </w:rPr>
              <w:t>。（供应商应仔细阅读第五章招标项目要求，结合自身的实际情况，如实填写技术标准和要求偏离表。技术偏离表须详细说明货物品牌、型号、实际技术参数及偏离情况、对所提要求的响应情况）</w:t>
            </w:r>
          </w:p>
        </w:tc>
      </w:tr>
      <w:tr w14:paraId="3ADE1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3F1E5BDD">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w:t>
            </w:r>
          </w:p>
        </w:tc>
        <w:tc>
          <w:tcPr>
            <w:tcW w:w="2381" w:type="dxa"/>
            <w:vAlign w:val="center"/>
          </w:tcPr>
          <w:p w14:paraId="18AA7002">
            <w:pPr>
              <w:spacing w:line="32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构成招标文件的其他材料</w:t>
            </w:r>
          </w:p>
        </w:tc>
        <w:tc>
          <w:tcPr>
            <w:tcW w:w="6158" w:type="dxa"/>
            <w:gridSpan w:val="2"/>
            <w:vAlign w:val="center"/>
          </w:tcPr>
          <w:p w14:paraId="53D6AD00">
            <w:pPr>
              <w:spacing w:line="360" w:lineRule="exact"/>
              <w:jc w:val="left"/>
              <w:rPr>
                <w:rFonts w:hint="eastAsia" w:asciiTheme="majorEastAsia" w:hAnsiTheme="majorEastAsia" w:eastAsiaTheme="majorEastAsia" w:cstheme="majorEastAsia"/>
                <w:color w:val="auto"/>
                <w:highlight w:val="none"/>
              </w:rPr>
            </w:pPr>
            <w:bookmarkStart w:id="57" w:name="EB35ced2e8f8364f63a510bf246ff979f0"/>
            <w:bookmarkEnd w:id="57"/>
            <w:r>
              <w:rPr>
                <w:rFonts w:hint="eastAsia" w:asciiTheme="majorEastAsia" w:hAnsiTheme="majorEastAsia" w:eastAsiaTheme="majorEastAsia" w:cstheme="majorEastAsia"/>
                <w:color w:val="auto"/>
                <w:highlight w:val="none"/>
              </w:rPr>
              <w:t>无</w:t>
            </w:r>
          </w:p>
        </w:tc>
      </w:tr>
      <w:tr w14:paraId="04E82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89" w:type="dxa"/>
            <w:vAlign w:val="center"/>
          </w:tcPr>
          <w:p w14:paraId="37D81240">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2.2</w:t>
            </w:r>
          </w:p>
        </w:tc>
        <w:tc>
          <w:tcPr>
            <w:tcW w:w="2381" w:type="dxa"/>
            <w:vAlign w:val="center"/>
          </w:tcPr>
          <w:p w14:paraId="33E267CF">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供应商要求澄清招标文件的截止时间</w:t>
            </w:r>
          </w:p>
        </w:tc>
        <w:tc>
          <w:tcPr>
            <w:tcW w:w="6158" w:type="dxa"/>
            <w:gridSpan w:val="2"/>
            <w:vAlign w:val="center"/>
          </w:tcPr>
          <w:p w14:paraId="4477C9A3">
            <w:pPr>
              <w:spacing w:line="44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202</w:t>
            </w:r>
            <w:r>
              <w:rPr>
                <w:rFonts w:hint="eastAsia" w:asciiTheme="majorEastAsia" w:hAnsiTheme="majorEastAsia" w:eastAsiaTheme="majorEastAsia" w:cstheme="majorEastAsia"/>
                <w:color w:val="auto"/>
                <w:highlight w:val="none"/>
                <w:lang w:val="en-US" w:eastAsia="zh-CN"/>
              </w:rPr>
              <w:t>5</w:t>
            </w:r>
            <w:r>
              <w:rPr>
                <w:rFonts w:hint="eastAsia" w:asciiTheme="majorEastAsia" w:hAnsiTheme="majorEastAsia" w:eastAsiaTheme="majorEastAsia" w:cstheme="majorEastAsia"/>
                <w:color w:val="auto"/>
                <w:highlight w:val="none"/>
              </w:rPr>
              <w:t>年</w:t>
            </w:r>
            <w:r>
              <w:rPr>
                <w:rFonts w:hint="eastAsia" w:asciiTheme="majorEastAsia" w:hAnsiTheme="majorEastAsia" w:eastAsiaTheme="majorEastAsia" w:cstheme="majorEastAsia"/>
                <w:color w:val="auto"/>
                <w:highlight w:val="none"/>
                <w:lang w:val="en-US" w:eastAsia="zh-CN"/>
              </w:rPr>
              <w:t>10</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lang w:val="en-US" w:eastAsia="zh-CN"/>
              </w:rPr>
              <w:t>31</w:t>
            </w:r>
            <w:r>
              <w:rPr>
                <w:rFonts w:hint="eastAsia" w:asciiTheme="majorEastAsia" w:hAnsiTheme="majorEastAsia" w:eastAsiaTheme="majorEastAsia" w:cstheme="majorEastAsia"/>
                <w:color w:val="auto"/>
                <w:highlight w:val="none"/>
              </w:rPr>
              <w:t>日</w:t>
            </w:r>
            <w:r>
              <w:rPr>
                <w:rFonts w:hint="eastAsia" w:asciiTheme="majorEastAsia" w:hAnsiTheme="majorEastAsia" w:eastAsiaTheme="majorEastAsia" w:cstheme="majorEastAsia"/>
                <w:color w:val="auto"/>
                <w:highlight w:val="none"/>
                <w:lang w:val="en-US" w:eastAsia="zh-CN"/>
              </w:rPr>
              <w:t>17</w:t>
            </w:r>
            <w:r>
              <w:rPr>
                <w:rFonts w:hint="eastAsia" w:asciiTheme="majorEastAsia" w:hAnsiTheme="majorEastAsia" w:eastAsiaTheme="majorEastAsia" w:cstheme="majorEastAsia"/>
                <w:color w:val="auto"/>
                <w:highlight w:val="none"/>
              </w:rPr>
              <w:t>时</w:t>
            </w:r>
            <w:r>
              <w:rPr>
                <w:rFonts w:hint="eastAsia" w:asciiTheme="majorEastAsia" w:hAnsiTheme="majorEastAsia" w:eastAsiaTheme="majorEastAsia" w:cstheme="majorEastAsia"/>
                <w:color w:val="auto"/>
                <w:highlight w:val="none"/>
                <w:lang w:val="en-US" w:eastAsia="zh-CN"/>
              </w:rPr>
              <w:t>30</w:t>
            </w:r>
            <w:r>
              <w:rPr>
                <w:rFonts w:hint="eastAsia" w:asciiTheme="majorEastAsia" w:hAnsiTheme="majorEastAsia" w:eastAsiaTheme="majorEastAsia" w:cstheme="majorEastAsia"/>
                <w:color w:val="auto"/>
                <w:highlight w:val="none"/>
              </w:rPr>
              <w:t>分</w:t>
            </w:r>
          </w:p>
        </w:tc>
      </w:tr>
      <w:tr w14:paraId="6C4EA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615DD640">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3.1</w:t>
            </w:r>
          </w:p>
        </w:tc>
        <w:tc>
          <w:tcPr>
            <w:tcW w:w="2381" w:type="dxa"/>
            <w:vAlign w:val="center"/>
          </w:tcPr>
          <w:p w14:paraId="621F66D8">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投标文件的组成</w:t>
            </w:r>
          </w:p>
        </w:tc>
        <w:tc>
          <w:tcPr>
            <w:tcW w:w="6158" w:type="dxa"/>
            <w:gridSpan w:val="2"/>
            <w:vAlign w:val="center"/>
          </w:tcPr>
          <w:p w14:paraId="47AAFFA6">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（1）开标一览表；</w:t>
            </w:r>
          </w:p>
          <w:p w14:paraId="167FF8A4">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（2）投标函；</w:t>
            </w:r>
          </w:p>
          <w:p w14:paraId="3BFDC4FC">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（3）中小企业声明函（</w:t>
            </w:r>
            <w:r>
              <w:rPr>
                <w:rFonts w:hint="eastAsia" w:asciiTheme="majorEastAsia" w:hAnsiTheme="majorEastAsia" w:eastAsiaTheme="majorEastAsia" w:cstheme="majorEastAsia"/>
                <w:color w:val="auto"/>
                <w:highlight w:val="none"/>
                <w:lang w:val="en-US" w:eastAsia="zh-CN"/>
              </w:rPr>
              <w:t>如需</w:t>
            </w:r>
            <w:r>
              <w:rPr>
                <w:rFonts w:hint="eastAsia" w:asciiTheme="majorEastAsia" w:hAnsiTheme="majorEastAsia" w:eastAsiaTheme="majorEastAsia" w:cstheme="majorEastAsia"/>
                <w:color w:val="auto"/>
                <w:highlight w:val="none"/>
              </w:rPr>
              <w:t>）；</w:t>
            </w:r>
          </w:p>
          <w:p w14:paraId="05024102">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（4）投标报价明细表及分析说明（</w:t>
            </w:r>
            <w:r>
              <w:rPr>
                <w:rFonts w:hint="eastAsia" w:asciiTheme="majorEastAsia" w:hAnsiTheme="majorEastAsia" w:eastAsiaTheme="majorEastAsia" w:cstheme="majorEastAsia"/>
                <w:color w:val="auto"/>
                <w:highlight w:val="none"/>
                <w:lang w:val="en-US" w:eastAsia="zh-CN"/>
              </w:rPr>
              <w:t>如需</w:t>
            </w:r>
            <w:r>
              <w:rPr>
                <w:rFonts w:hint="eastAsia" w:asciiTheme="majorEastAsia" w:hAnsiTheme="majorEastAsia" w:eastAsiaTheme="majorEastAsia" w:cstheme="majorEastAsia"/>
                <w:color w:val="auto"/>
                <w:highlight w:val="none"/>
              </w:rPr>
              <w:t>）；</w:t>
            </w:r>
          </w:p>
          <w:p w14:paraId="4BD6542E">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（5）资格性审查和符合性评审文件；</w:t>
            </w:r>
          </w:p>
          <w:p w14:paraId="5E1E9A5A">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（6）投标偏离表；</w:t>
            </w:r>
          </w:p>
          <w:p w14:paraId="796B23CE">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（7）对照第三章评标办法，认为应列入投标文件的其他材料。</w:t>
            </w:r>
          </w:p>
          <w:p w14:paraId="3D1FC1ED">
            <w:pPr>
              <w:pStyle w:val="14"/>
              <w:spacing w:after="0" w:line="400" w:lineRule="exact"/>
              <w:ind w:left="0" w:leftChars="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（8）法定代表人身份证明书或法定代表人授权委托书（附身份证复印件）</w:t>
            </w:r>
          </w:p>
        </w:tc>
      </w:tr>
      <w:tr w14:paraId="6D067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89" w:type="dxa"/>
            <w:vAlign w:val="center"/>
          </w:tcPr>
          <w:p w14:paraId="62483D41">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3.3.1</w:t>
            </w:r>
          </w:p>
        </w:tc>
        <w:tc>
          <w:tcPr>
            <w:tcW w:w="2381" w:type="dxa"/>
            <w:vAlign w:val="center"/>
          </w:tcPr>
          <w:p w14:paraId="150BFB91">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投标有效期</w:t>
            </w:r>
          </w:p>
        </w:tc>
        <w:tc>
          <w:tcPr>
            <w:tcW w:w="6158" w:type="dxa"/>
            <w:gridSpan w:val="2"/>
            <w:vAlign w:val="center"/>
          </w:tcPr>
          <w:p w14:paraId="2BF2A12B">
            <w:pPr>
              <w:spacing w:line="44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60天</w:t>
            </w:r>
          </w:p>
        </w:tc>
      </w:tr>
      <w:tr w14:paraId="383AD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vAlign w:val="center"/>
          </w:tcPr>
          <w:p w14:paraId="3CF267F5">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3.4.3</w:t>
            </w:r>
          </w:p>
        </w:tc>
        <w:tc>
          <w:tcPr>
            <w:tcW w:w="2381" w:type="dxa"/>
            <w:vAlign w:val="center"/>
          </w:tcPr>
          <w:p w14:paraId="292AACD0">
            <w:pPr>
              <w:spacing w:line="38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投标文件的份数</w:t>
            </w:r>
          </w:p>
        </w:tc>
        <w:tc>
          <w:tcPr>
            <w:tcW w:w="6158" w:type="dxa"/>
            <w:gridSpan w:val="2"/>
            <w:vAlign w:val="center"/>
          </w:tcPr>
          <w:p w14:paraId="6A55C37E">
            <w:pPr>
              <w:spacing w:line="380" w:lineRule="exact"/>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电子投标文件壹份</w:t>
            </w:r>
          </w:p>
        </w:tc>
      </w:tr>
      <w:tr w14:paraId="66008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771C25DA">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3.4.4</w:t>
            </w:r>
          </w:p>
        </w:tc>
        <w:tc>
          <w:tcPr>
            <w:tcW w:w="2381" w:type="dxa"/>
            <w:vAlign w:val="center"/>
          </w:tcPr>
          <w:p w14:paraId="30978389">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投标文件的签署</w:t>
            </w:r>
          </w:p>
        </w:tc>
        <w:tc>
          <w:tcPr>
            <w:tcW w:w="6158" w:type="dxa"/>
            <w:gridSpan w:val="2"/>
            <w:vAlign w:val="center"/>
          </w:tcPr>
          <w:p w14:paraId="7192DD5C">
            <w:pPr>
              <w:spacing w:line="44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1.投标函、供应商基本资格条件承诺函中须加盖供应商法人章并经法定代表人签字或签章。</w:t>
            </w:r>
          </w:p>
          <w:p w14:paraId="4DE1F359">
            <w:pPr>
              <w:spacing w:line="44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2.投标文件中的任何重要的插字、涂改和增删，修改处须有法定代表人签章或签字。</w:t>
            </w:r>
          </w:p>
        </w:tc>
      </w:tr>
      <w:tr w14:paraId="5FE44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vAlign w:val="center"/>
          </w:tcPr>
          <w:p w14:paraId="46D353DD">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5.1.1</w:t>
            </w:r>
          </w:p>
        </w:tc>
        <w:tc>
          <w:tcPr>
            <w:tcW w:w="2381" w:type="dxa"/>
            <w:vAlign w:val="center"/>
          </w:tcPr>
          <w:p w14:paraId="7A673576">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开标时间和地点</w:t>
            </w:r>
          </w:p>
        </w:tc>
        <w:tc>
          <w:tcPr>
            <w:tcW w:w="6158" w:type="dxa"/>
            <w:gridSpan w:val="2"/>
            <w:vAlign w:val="center"/>
          </w:tcPr>
          <w:p w14:paraId="3A385C87">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开标时间：</w:t>
            </w:r>
            <w:bookmarkStart w:id="58" w:name="EB72e20e40757d438698d0d924b6237fcc"/>
            <w:bookmarkEnd w:id="58"/>
            <w:r>
              <w:rPr>
                <w:rFonts w:hint="eastAsia" w:ascii="宋体" w:hAnsi="宋体"/>
                <w:color w:val="auto"/>
                <w:szCs w:val="21"/>
                <w:highlight w:val="none"/>
              </w:rPr>
              <w:t>见招标公告</w:t>
            </w:r>
          </w:p>
          <w:p w14:paraId="473C6106">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开标地点：</w:t>
            </w:r>
            <w:r>
              <w:rPr>
                <w:rFonts w:hint="eastAsia" w:ascii="宋体" w:hAnsi="宋体"/>
                <w:color w:val="auto"/>
                <w:szCs w:val="21"/>
                <w:highlight w:val="none"/>
              </w:rPr>
              <w:t>见招标公告</w:t>
            </w:r>
          </w:p>
        </w:tc>
      </w:tr>
      <w:tr w14:paraId="2ABDE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089" w:type="dxa"/>
            <w:vAlign w:val="center"/>
          </w:tcPr>
          <w:p w14:paraId="51367788">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5.1.2</w:t>
            </w:r>
          </w:p>
        </w:tc>
        <w:tc>
          <w:tcPr>
            <w:tcW w:w="2381" w:type="dxa"/>
            <w:vAlign w:val="center"/>
          </w:tcPr>
          <w:p w14:paraId="3C43FB0E">
            <w:pPr>
              <w:spacing w:line="4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供应商参与开标要求</w:t>
            </w:r>
          </w:p>
        </w:tc>
        <w:tc>
          <w:tcPr>
            <w:tcW w:w="6158" w:type="dxa"/>
            <w:gridSpan w:val="2"/>
            <w:vAlign w:val="center"/>
          </w:tcPr>
          <w:p w14:paraId="4A921F61">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开标活动将在招标公告中规定的时间和地点进行。供应商应当按照规定，参加开标活动。</w:t>
            </w:r>
          </w:p>
        </w:tc>
      </w:tr>
      <w:tr w14:paraId="71FBF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89" w:type="dxa"/>
            <w:vAlign w:val="center"/>
          </w:tcPr>
          <w:p w14:paraId="68557A8C">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7.2.1</w:t>
            </w:r>
          </w:p>
        </w:tc>
        <w:tc>
          <w:tcPr>
            <w:tcW w:w="2381" w:type="dxa"/>
            <w:vAlign w:val="center"/>
          </w:tcPr>
          <w:p w14:paraId="5BE6F1AC">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中标公告媒介</w:t>
            </w:r>
          </w:p>
        </w:tc>
        <w:tc>
          <w:tcPr>
            <w:tcW w:w="6158" w:type="dxa"/>
            <w:gridSpan w:val="2"/>
            <w:vAlign w:val="center"/>
          </w:tcPr>
          <w:p w14:paraId="18C4A808">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4"/>
                <w:highlight w:val="none"/>
              </w:rPr>
              <w:t>江苏政府采购网（www.ccgp-jiangsu.gov.cn）</w:t>
            </w:r>
          </w:p>
        </w:tc>
      </w:tr>
      <w:tr w14:paraId="2517E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vAlign w:val="center"/>
          </w:tcPr>
          <w:p w14:paraId="05CCF52C">
            <w:pPr>
              <w:spacing w:line="34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8.1.1</w:t>
            </w:r>
          </w:p>
        </w:tc>
        <w:tc>
          <w:tcPr>
            <w:tcW w:w="2381" w:type="dxa"/>
            <w:vAlign w:val="center"/>
          </w:tcPr>
          <w:p w14:paraId="605FD9DC">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履约保证金</w:t>
            </w:r>
          </w:p>
        </w:tc>
        <w:tc>
          <w:tcPr>
            <w:tcW w:w="6158" w:type="dxa"/>
            <w:gridSpan w:val="2"/>
            <w:vAlign w:val="center"/>
          </w:tcPr>
          <w:p w14:paraId="6A3A02CE">
            <w:pPr>
              <w:pStyle w:val="39"/>
              <w:keepNext w:val="0"/>
              <w:keepLines w:val="0"/>
              <w:pageBreakBefore w:val="0"/>
              <w:numPr>
                <w:ilvl w:val="0"/>
                <w:numId w:val="1"/>
              </w:numPr>
              <w:kinsoku/>
              <w:wordWrap/>
              <w:overflowPunct/>
              <w:bidi w:val="0"/>
              <w:spacing w:line="360" w:lineRule="exac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履约保证金形式:  支票、汇票、本票、履约担保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银行电汇或网上银行支付或银行保函等法律法规允许的非现金形式</w:t>
            </w:r>
          </w:p>
          <w:p w14:paraId="349CE078">
            <w:pPr>
              <w:pStyle w:val="39"/>
              <w:keepNext w:val="0"/>
              <w:keepLines w:val="0"/>
              <w:pageBreakBefore w:val="0"/>
              <w:numPr>
                <w:ilvl w:val="0"/>
                <w:numId w:val="0"/>
              </w:numPr>
              <w:kinsoku/>
              <w:wordWrap/>
              <w:overflowPunct/>
              <w:bidi w:val="0"/>
              <w:spacing w:line="360" w:lineRule="exac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（2）金额：合同价的</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w:t>
            </w:r>
          </w:p>
          <w:p w14:paraId="6768D7A8">
            <w:pPr>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（3）缴纳时间：在确定成交投标人之后,签订采购合同前。</w:t>
            </w:r>
          </w:p>
          <w:p w14:paraId="40B7CEB3">
            <w:pPr>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（4）退还时间：合同期满后无息退还。</w:t>
            </w:r>
          </w:p>
        </w:tc>
      </w:tr>
      <w:tr w14:paraId="3098D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9" w:type="dxa"/>
            <w:vAlign w:val="center"/>
          </w:tcPr>
          <w:p w14:paraId="1C5F528E">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8.2.1</w:t>
            </w:r>
          </w:p>
        </w:tc>
        <w:tc>
          <w:tcPr>
            <w:tcW w:w="2381" w:type="dxa"/>
            <w:vAlign w:val="center"/>
          </w:tcPr>
          <w:p w14:paraId="306B1F58">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签订合同的</w:t>
            </w:r>
          </w:p>
          <w:p w14:paraId="6DCB6115">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时间要求</w:t>
            </w:r>
          </w:p>
        </w:tc>
        <w:tc>
          <w:tcPr>
            <w:tcW w:w="6158" w:type="dxa"/>
            <w:gridSpan w:val="2"/>
            <w:vAlign w:val="center"/>
          </w:tcPr>
          <w:p w14:paraId="67B77124">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自中标通知书发出之日起</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lang w:val="en-US" w:eastAsia="zh-CN"/>
              </w:rPr>
              <w:t>30</w:t>
            </w:r>
            <w:r>
              <w:rPr>
                <w:rFonts w:hint="eastAsia" w:asciiTheme="majorEastAsia" w:hAnsiTheme="majorEastAsia" w:eastAsiaTheme="majorEastAsia" w:cstheme="majorEastAsia"/>
                <w:color w:val="auto"/>
                <w:highlight w:val="none"/>
              </w:rPr>
              <w:t>天内</w:t>
            </w:r>
          </w:p>
        </w:tc>
      </w:tr>
      <w:tr w14:paraId="76500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7CFE062D">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9</w:t>
            </w:r>
          </w:p>
        </w:tc>
        <w:tc>
          <w:tcPr>
            <w:tcW w:w="8539" w:type="dxa"/>
            <w:gridSpan w:val="3"/>
            <w:vAlign w:val="center"/>
          </w:tcPr>
          <w:p w14:paraId="3B27D61B">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需要补充的其他内容</w:t>
            </w:r>
          </w:p>
        </w:tc>
      </w:tr>
      <w:tr w14:paraId="1F948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vAlign w:val="center"/>
          </w:tcPr>
          <w:p w14:paraId="2F682D74">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9.1</w:t>
            </w:r>
          </w:p>
        </w:tc>
        <w:tc>
          <w:tcPr>
            <w:tcW w:w="2521" w:type="dxa"/>
            <w:gridSpan w:val="2"/>
            <w:vAlign w:val="center"/>
          </w:tcPr>
          <w:p w14:paraId="4783C5ED">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质疑和投诉</w:t>
            </w:r>
          </w:p>
        </w:tc>
        <w:tc>
          <w:tcPr>
            <w:tcW w:w="6018" w:type="dxa"/>
            <w:vAlign w:val="center"/>
          </w:tcPr>
          <w:p w14:paraId="5486BC93">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按照《政府采购质疑和投诉办法》（财政部第94号令）处理</w:t>
            </w:r>
          </w:p>
        </w:tc>
      </w:tr>
      <w:tr w14:paraId="00654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vAlign w:val="center"/>
          </w:tcPr>
          <w:p w14:paraId="450866F5">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9.2</w:t>
            </w:r>
          </w:p>
        </w:tc>
        <w:tc>
          <w:tcPr>
            <w:tcW w:w="2521" w:type="dxa"/>
            <w:gridSpan w:val="2"/>
            <w:vAlign w:val="center"/>
          </w:tcPr>
          <w:p w14:paraId="4600147D">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招标文件的解释</w:t>
            </w:r>
          </w:p>
        </w:tc>
        <w:tc>
          <w:tcPr>
            <w:tcW w:w="6018" w:type="dxa"/>
            <w:vAlign w:val="center"/>
          </w:tcPr>
          <w:p w14:paraId="0C42BB83">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由招标人负责</w:t>
            </w:r>
          </w:p>
        </w:tc>
      </w:tr>
      <w:tr w14:paraId="1CB9C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6177B783">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9.3</w:t>
            </w:r>
          </w:p>
        </w:tc>
        <w:tc>
          <w:tcPr>
            <w:tcW w:w="2521" w:type="dxa"/>
            <w:gridSpan w:val="2"/>
            <w:vAlign w:val="center"/>
          </w:tcPr>
          <w:p w14:paraId="515CB220">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落实政府采购政策</w:t>
            </w:r>
          </w:p>
        </w:tc>
        <w:tc>
          <w:tcPr>
            <w:tcW w:w="6018" w:type="dxa"/>
            <w:vAlign w:val="center"/>
          </w:tcPr>
          <w:p w14:paraId="47943D42">
            <w:pPr>
              <w:spacing w:line="360" w:lineRule="exact"/>
              <w:jc w:val="both"/>
              <w:rPr>
                <w:rFonts w:hint="default" w:asciiTheme="majorEastAsia" w:hAnsiTheme="majorEastAsia" w:eastAsiaTheme="majorEastAsia" w:cstheme="majorEastAsia"/>
                <w:color w:val="auto"/>
                <w:sz w:val="24"/>
                <w:szCs w:val="24"/>
                <w:highlight w:val="none"/>
                <w:lang w:val="en-US" w:eastAsia="zh-CN"/>
              </w:rPr>
            </w:pPr>
            <w:r>
              <w:rPr>
                <w:rFonts w:hint="default" w:asciiTheme="majorEastAsia" w:hAnsiTheme="majorEastAsia" w:eastAsiaTheme="majorEastAsia" w:cstheme="majorEastAsia"/>
                <w:color w:val="auto"/>
                <w:sz w:val="24"/>
                <w:szCs w:val="24"/>
                <w:highlight w:val="none"/>
                <w:lang w:val="en-US" w:eastAsia="zh-CN"/>
              </w:rPr>
              <w:t>本项目为专门面向中小企业的项目</w:t>
            </w:r>
          </w:p>
        </w:tc>
      </w:tr>
      <w:tr w14:paraId="2E999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66267491">
            <w:pPr>
              <w:spacing w:line="360" w:lineRule="exact"/>
              <w:jc w:val="center"/>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9.4</w:t>
            </w:r>
          </w:p>
        </w:tc>
        <w:tc>
          <w:tcPr>
            <w:tcW w:w="2521" w:type="dxa"/>
            <w:gridSpan w:val="2"/>
            <w:vAlign w:val="center"/>
          </w:tcPr>
          <w:p w14:paraId="7220FE97">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投标报价</w:t>
            </w:r>
          </w:p>
        </w:tc>
        <w:tc>
          <w:tcPr>
            <w:tcW w:w="6018" w:type="dxa"/>
            <w:vAlign w:val="center"/>
          </w:tcPr>
          <w:p w14:paraId="2664C060">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1.供应商应仔细阅读和充分理解招标文件的采购需求和合同主要条款，根据自身实际情况并综合考虑</w:t>
            </w:r>
            <w:r>
              <w:rPr>
                <w:rFonts w:hint="eastAsia" w:asciiTheme="majorEastAsia" w:hAnsiTheme="majorEastAsia" w:eastAsiaTheme="majorEastAsia" w:cstheme="majorEastAsia"/>
                <w:color w:val="auto"/>
                <w:highlight w:val="none"/>
                <w:lang w:val="en-US" w:eastAsia="zh-CN"/>
              </w:rPr>
              <w:t>服务</w:t>
            </w:r>
            <w:r>
              <w:rPr>
                <w:rFonts w:hint="eastAsia" w:asciiTheme="majorEastAsia" w:hAnsiTheme="majorEastAsia" w:eastAsiaTheme="majorEastAsia" w:cstheme="majorEastAsia"/>
                <w:color w:val="auto"/>
                <w:highlight w:val="none"/>
              </w:rPr>
              <w:t>过程中的各类风险，理性报价。</w:t>
            </w:r>
          </w:p>
          <w:p w14:paraId="56B71704">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2.中标价即为</w:t>
            </w:r>
            <w:r>
              <w:rPr>
                <w:rFonts w:hint="eastAsia" w:asciiTheme="majorEastAsia" w:hAnsiTheme="majorEastAsia" w:eastAsiaTheme="majorEastAsia" w:cstheme="majorEastAsia"/>
                <w:color w:val="auto"/>
                <w:highlight w:val="none"/>
                <w:lang w:val="en-US" w:eastAsia="zh-CN"/>
              </w:rPr>
              <w:t>合</w:t>
            </w:r>
            <w:r>
              <w:rPr>
                <w:rFonts w:hint="eastAsia" w:asciiTheme="majorEastAsia" w:hAnsiTheme="majorEastAsia" w:eastAsiaTheme="majorEastAsia" w:cstheme="majorEastAsia"/>
                <w:color w:val="auto"/>
                <w:highlight w:val="none"/>
              </w:rPr>
              <w:t>同</w:t>
            </w:r>
            <w:r>
              <w:rPr>
                <w:rFonts w:hint="eastAsia" w:asciiTheme="majorEastAsia" w:hAnsiTheme="majorEastAsia" w:eastAsiaTheme="majorEastAsia" w:cstheme="majorEastAsia"/>
                <w:color w:val="auto"/>
                <w:highlight w:val="none"/>
                <w:lang w:val="en-US" w:eastAsia="zh-CN"/>
              </w:rPr>
              <w:t>总</w:t>
            </w:r>
            <w:r>
              <w:rPr>
                <w:rFonts w:hint="eastAsia" w:asciiTheme="majorEastAsia" w:hAnsiTheme="majorEastAsia" w:eastAsiaTheme="majorEastAsia" w:cstheme="majorEastAsia"/>
                <w:color w:val="auto"/>
                <w:highlight w:val="none"/>
              </w:rPr>
              <w:t>价，在合同期内不予调增。</w:t>
            </w:r>
          </w:p>
          <w:p w14:paraId="0E17176A">
            <w:pPr>
              <w:spacing w:line="360" w:lineRule="exact"/>
              <w:jc w:val="lef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color w:val="auto"/>
                <w:highlight w:val="none"/>
              </w:rPr>
              <w:t>3.异常的低价可能会导致投标无效。</w:t>
            </w:r>
          </w:p>
        </w:tc>
      </w:tr>
      <w:tr w14:paraId="26C9F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184B4B02">
            <w:pPr>
              <w:spacing w:line="360" w:lineRule="exact"/>
              <w:jc w:val="center"/>
              <w:rPr>
                <w:rFonts w:hint="eastAsia" w:asciiTheme="majorEastAsia" w:hAnsiTheme="majorEastAsia" w:eastAsiaTheme="majorEastAsia" w:cstheme="majorEastAsia"/>
                <w:b/>
                <w:color w:val="auto"/>
                <w:highlight w:val="none"/>
              </w:rPr>
            </w:pPr>
            <w:bookmarkStart w:id="59" w:name="_Toc426469871"/>
            <w:bookmarkStart w:id="60" w:name="_Toc367784995"/>
            <w:r>
              <w:rPr>
                <w:rFonts w:hint="eastAsia" w:asciiTheme="majorEastAsia" w:hAnsiTheme="majorEastAsia" w:eastAsiaTheme="majorEastAsia" w:cstheme="majorEastAsia"/>
                <w:b/>
                <w:color w:val="auto"/>
                <w:highlight w:val="none"/>
              </w:rPr>
              <w:t>9.5</w:t>
            </w:r>
          </w:p>
        </w:tc>
        <w:tc>
          <w:tcPr>
            <w:tcW w:w="2521" w:type="dxa"/>
            <w:gridSpan w:val="2"/>
            <w:vAlign w:val="center"/>
          </w:tcPr>
          <w:p w14:paraId="130C4861">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其他</w:t>
            </w:r>
          </w:p>
        </w:tc>
        <w:tc>
          <w:tcPr>
            <w:tcW w:w="6018" w:type="dxa"/>
            <w:vAlign w:val="center"/>
          </w:tcPr>
          <w:p w14:paraId="0CE17688">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本项目代理服务费由成交人在领取成交通知书前代付。招标代理费按照计价格【2002】1980号文件及发改价格【2011】534号文件规定的</w:t>
            </w:r>
            <w:r>
              <w:rPr>
                <w:rFonts w:hint="eastAsia" w:asciiTheme="majorEastAsia" w:hAnsiTheme="majorEastAsia" w:eastAsiaTheme="majorEastAsia" w:cstheme="majorEastAsia"/>
                <w:color w:val="auto"/>
                <w:highlight w:val="none"/>
                <w:lang w:val="en-US" w:eastAsia="zh-CN"/>
              </w:rPr>
              <w:t>70</w:t>
            </w:r>
            <w:r>
              <w:rPr>
                <w:rFonts w:hint="eastAsia" w:asciiTheme="majorEastAsia" w:hAnsiTheme="majorEastAsia" w:eastAsiaTheme="majorEastAsia" w:cstheme="majorEastAsia"/>
                <w:color w:val="auto"/>
                <w:highlight w:val="none"/>
              </w:rPr>
              <w:t>%计取；评审费按苏财购〔2016〕48号规定，外加路费补贴。</w:t>
            </w:r>
          </w:p>
          <w:p w14:paraId="4ABB75F9">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各供应商应慎重报价，不得恶意降价，若</w:t>
            </w:r>
            <w:r>
              <w:rPr>
                <w:rFonts w:hint="eastAsia" w:asciiTheme="majorEastAsia" w:hAnsiTheme="majorEastAsia" w:eastAsiaTheme="majorEastAsia" w:cstheme="majorEastAsia"/>
                <w:color w:val="auto"/>
                <w:highlight w:val="none"/>
                <w:lang w:val="en-US" w:eastAsia="zh-CN"/>
              </w:rPr>
              <w:t>成交</w:t>
            </w:r>
            <w:r>
              <w:rPr>
                <w:rFonts w:hint="eastAsia" w:asciiTheme="majorEastAsia" w:hAnsiTheme="majorEastAsia" w:eastAsiaTheme="majorEastAsia" w:cstheme="majorEastAsia"/>
                <w:color w:val="auto"/>
                <w:highlight w:val="none"/>
              </w:rPr>
              <w:t>候选人因报价过低放弃中标或不能履约等，采购人将上报监管部门，进行不良行为公示。</w:t>
            </w:r>
          </w:p>
          <w:p w14:paraId="2D281E04">
            <w:pPr>
              <w:spacing w:line="36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企业类型（小型、微型）的判定可</w:t>
            </w:r>
            <w:r>
              <w:rPr>
                <w:rFonts w:hint="eastAsia" w:asciiTheme="majorEastAsia" w:hAnsiTheme="majorEastAsia" w:eastAsiaTheme="majorEastAsia" w:cstheme="majorEastAsia"/>
                <w:color w:val="auto"/>
                <w:highlight w:val="none"/>
              </w:rPr>
              <w:t>参照《关于印发中小企业划型标准规定的通知》（工信部联企业【2011】300号）文件，</w:t>
            </w:r>
            <w:r>
              <w:rPr>
                <w:rFonts w:hint="eastAsia" w:asciiTheme="majorEastAsia" w:hAnsiTheme="majorEastAsia" w:eastAsiaTheme="majorEastAsia" w:cstheme="majorEastAsia"/>
                <w:b/>
                <w:bCs/>
                <w:color w:val="auto"/>
                <w:highlight w:val="none"/>
              </w:rPr>
              <w:t>本项目所属行业为软件和信息技术服务业</w:t>
            </w:r>
            <w:r>
              <w:rPr>
                <w:rFonts w:hint="eastAsia" w:asciiTheme="majorEastAsia" w:hAnsiTheme="majorEastAsia" w:eastAsiaTheme="majorEastAsia" w:cstheme="majorEastAsia"/>
                <w:b/>
                <w:bCs/>
                <w:color w:val="auto"/>
                <w:highlight w:val="none"/>
                <w:lang w:eastAsia="zh-CN"/>
              </w:rPr>
              <w:t>。</w:t>
            </w:r>
          </w:p>
        </w:tc>
      </w:tr>
    </w:tbl>
    <w:p w14:paraId="5D23DFFE">
      <w:pPr>
        <w:adjustRightInd w:val="0"/>
        <w:snapToGrid w:val="0"/>
        <w:spacing w:line="490" w:lineRule="exact"/>
        <w:outlineLvl w:val="1"/>
        <w:rPr>
          <w:rFonts w:hint="eastAsia" w:asciiTheme="majorEastAsia" w:hAnsiTheme="majorEastAsia" w:eastAsiaTheme="majorEastAsia" w:cstheme="majorEastAsia"/>
          <w:color w:val="auto"/>
          <w:highlight w:val="none"/>
        </w:rPr>
      </w:pPr>
      <w:bookmarkStart w:id="61" w:name="_Toc4797"/>
      <w:r>
        <w:rPr>
          <w:rFonts w:hint="eastAsia" w:asciiTheme="majorEastAsia" w:hAnsiTheme="majorEastAsia" w:eastAsiaTheme="majorEastAsia" w:cstheme="majorEastAsia"/>
          <w:color w:val="auto"/>
          <w:highlight w:val="none"/>
        </w:rPr>
        <w:t>1.总则</w:t>
      </w:r>
      <w:bookmarkEnd w:id="59"/>
      <w:bookmarkEnd w:id="60"/>
      <w:bookmarkEnd w:id="61"/>
    </w:p>
    <w:p w14:paraId="163C26B7">
      <w:pPr>
        <w:adjustRightInd w:val="0"/>
        <w:snapToGrid w:val="0"/>
        <w:spacing w:line="490" w:lineRule="exact"/>
        <w:rPr>
          <w:rFonts w:hint="eastAsia" w:asciiTheme="majorEastAsia" w:hAnsiTheme="majorEastAsia" w:eastAsiaTheme="majorEastAsia" w:cstheme="majorEastAsia"/>
          <w:b/>
          <w:color w:val="auto"/>
          <w:highlight w:val="none"/>
        </w:rPr>
      </w:pPr>
      <w:bookmarkStart w:id="62" w:name="_Toc144974498"/>
      <w:bookmarkStart w:id="63" w:name="_Toc247085690"/>
      <w:bookmarkStart w:id="64" w:name="_Toc383438593"/>
      <w:bookmarkStart w:id="65" w:name="_Toc246996919"/>
      <w:bookmarkStart w:id="66" w:name="_Toc152045530"/>
      <w:bookmarkStart w:id="67" w:name="_Toc426469872"/>
      <w:bookmarkStart w:id="68" w:name="_Toc152042306"/>
      <w:bookmarkStart w:id="69" w:name="_Toc246996176"/>
      <w:bookmarkStart w:id="70" w:name="_Toc343525506"/>
      <w:bookmarkStart w:id="71" w:name="_Toc179632547"/>
      <w:bookmarkStart w:id="72" w:name="_Toc367784996"/>
      <w:r>
        <w:rPr>
          <w:rFonts w:hint="eastAsia" w:asciiTheme="majorEastAsia" w:hAnsiTheme="majorEastAsia" w:eastAsiaTheme="majorEastAsia" w:cstheme="majorEastAsia"/>
          <w:b/>
          <w:color w:val="auto"/>
          <w:highlight w:val="none"/>
        </w:rPr>
        <w:t>1.1 项目概况</w:t>
      </w:r>
      <w:bookmarkEnd w:id="62"/>
      <w:bookmarkEnd w:id="63"/>
      <w:bookmarkEnd w:id="64"/>
      <w:bookmarkEnd w:id="65"/>
      <w:bookmarkEnd w:id="66"/>
      <w:bookmarkEnd w:id="67"/>
      <w:bookmarkEnd w:id="68"/>
      <w:bookmarkEnd w:id="69"/>
      <w:bookmarkEnd w:id="70"/>
      <w:bookmarkEnd w:id="71"/>
    </w:p>
    <w:p w14:paraId="079F2959">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1.1.1根据《中华人民共和国政府采购法》、《中华人民共和国政府采购法实施条例》等有关法律、法规和规章的规定，本采购项目已具备采购条件，现对本项目进行公开招标。</w:t>
      </w:r>
    </w:p>
    <w:p w14:paraId="2EEA6414">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1.1.2 招标人：见供应商须知前附表。</w:t>
      </w:r>
    </w:p>
    <w:p w14:paraId="31A9412B">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1.1.3 采购代理机构：见供应商须知前附表。</w:t>
      </w:r>
    </w:p>
    <w:p w14:paraId="43DD2717">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1.1.4 项目名称及项目编号：见供应商须知前附表。</w:t>
      </w:r>
    </w:p>
    <w:p w14:paraId="7978BDBA">
      <w:pPr>
        <w:adjustRightInd w:val="0"/>
        <w:snapToGrid w:val="0"/>
        <w:spacing w:line="490" w:lineRule="exact"/>
        <w:rPr>
          <w:rFonts w:hint="eastAsia" w:asciiTheme="majorEastAsia" w:hAnsiTheme="majorEastAsia" w:eastAsiaTheme="majorEastAsia" w:cstheme="majorEastAsia"/>
          <w:b/>
          <w:color w:val="auto"/>
          <w:highlight w:val="none"/>
        </w:rPr>
      </w:pPr>
      <w:bookmarkStart w:id="73" w:name="_Toc246996177"/>
      <w:bookmarkStart w:id="74" w:name="_Toc247085691"/>
      <w:bookmarkStart w:id="75" w:name="_Toc426469873"/>
      <w:bookmarkStart w:id="76" w:name="_Toc179632548"/>
      <w:bookmarkStart w:id="77" w:name="_Toc152045531"/>
      <w:bookmarkStart w:id="78" w:name="_Toc246996920"/>
      <w:bookmarkStart w:id="79" w:name="_Toc383438594"/>
      <w:bookmarkStart w:id="80" w:name="_Toc152042307"/>
      <w:bookmarkStart w:id="81" w:name="_Toc144974499"/>
      <w:bookmarkStart w:id="82" w:name="_Toc343525507"/>
      <w:r>
        <w:rPr>
          <w:rFonts w:hint="eastAsia" w:asciiTheme="majorEastAsia" w:hAnsiTheme="majorEastAsia" w:eastAsiaTheme="majorEastAsia" w:cstheme="majorEastAsia"/>
          <w:b/>
          <w:color w:val="auto"/>
          <w:highlight w:val="none"/>
        </w:rPr>
        <w:t>1.2</w:t>
      </w:r>
      <w:bookmarkEnd w:id="73"/>
      <w:bookmarkEnd w:id="74"/>
      <w:bookmarkEnd w:id="75"/>
      <w:bookmarkEnd w:id="76"/>
      <w:bookmarkEnd w:id="77"/>
      <w:bookmarkEnd w:id="78"/>
      <w:bookmarkEnd w:id="79"/>
      <w:bookmarkEnd w:id="80"/>
      <w:bookmarkEnd w:id="81"/>
      <w:bookmarkEnd w:id="82"/>
      <w:r>
        <w:rPr>
          <w:rFonts w:hint="eastAsia" w:asciiTheme="majorEastAsia" w:hAnsiTheme="majorEastAsia" w:eastAsiaTheme="majorEastAsia" w:cstheme="majorEastAsia"/>
          <w:b/>
          <w:color w:val="auto"/>
          <w:highlight w:val="none"/>
        </w:rPr>
        <w:t>付款方式</w:t>
      </w:r>
    </w:p>
    <w:p w14:paraId="6CA9E095">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1.2.1付款方式：见供应商须知前附表。</w:t>
      </w:r>
    </w:p>
    <w:p w14:paraId="248056D4">
      <w:pPr>
        <w:adjustRightInd w:val="0"/>
        <w:snapToGrid w:val="0"/>
        <w:spacing w:line="490" w:lineRule="exact"/>
        <w:rPr>
          <w:rFonts w:hint="eastAsia" w:asciiTheme="majorEastAsia" w:hAnsiTheme="majorEastAsia" w:eastAsiaTheme="majorEastAsia" w:cstheme="majorEastAsia"/>
          <w:b/>
          <w:color w:val="auto"/>
          <w:highlight w:val="none"/>
        </w:rPr>
      </w:pPr>
      <w:bookmarkStart w:id="83" w:name="_Toc383438595"/>
      <w:bookmarkStart w:id="84" w:name="_Toc247085692"/>
      <w:bookmarkStart w:id="85" w:name="_Toc343525508"/>
      <w:bookmarkStart w:id="86" w:name="_Toc246996921"/>
      <w:bookmarkStart w:id="87" w:name="_Toc152042308"/>
      <w:bookmarkStart w:id="88" w:name="_Toc179632549"/>
      <w:bookmarkStart w:id="89" w:name="_Toc152045532"/>
      <w:bookmarkStart w:id="90" w:name="_Toc246996178"/>
      <w:bookmarkStart w:id="91" w:name="_Toc144974500"/>
      <w:bookmarkStart w:id="92" w:name="_Toc426469874"/>
      <w:r>
        <w:rPr>
          <w:rFonts w:hint="eastAsia" w:asciiTheme="majorEastAsia" w:hAnsiTheme="majorEastAsia" w:eastAsiaTheme="majorEastAsia" w:cstheme="majorEastAsia"/>
          <w:b/>
          <w:color w:val="auto"/>
          <w:highlight w:val="none"/>
        </w:rPr>
        <w:t xml:space="preserve">1.3 </w:t>
      </w:r>
      <w:bookmarkEnd w:id="83"/>
      <w:bookmarkEnd w:id="84"/>
      <w:bookmarkEnd w:id="85"/>
      <w:bookmarkEnd w:id="86"/>
      <w:bookmarkEnd w:id="87"/>
      <w:bookmarkEnd w:id="88"/>
      <w:bookmarkEnd w:id="89"/>
      <w:bookmarkEnd w:id="90"/>
      <w:bookmarkEnd w:id="91"/>
      <w:r>
        <w:rPr>
          <w:rFonts w:hint="eastAsia" w:asciiTheme="majorEastAsia" w:hAnsiTheme="majorEastAsia" w:eastAsiaTheme="majorEastAsia" w:cstheme="majorEastAsia"/>
          <w:b/>
          <w:color w:val="auto"/>
          <w:highlight w:val="none"/>
        </w:rPr>
        <w:t>采购范围</w:t>
      </w:r>
      <w:bookmarkEnd w:id="92"/>
      <w:r>
        <w:rPr>
          <w:rFonts w:hint="eastAsia" w:asciiTheme="majorEastAsia" w:hAnsiTheme="majorEastAsia" w:eastAsiaTheme="majorEastAsia" w:cstheme="majorEastAsia"/>
          <w:b/>
          <w:color w:val="auto"/>
          <w:highlight w:val="none"/>
        </w:rPr>
        <w:t>与服务期限</w:t>
      </w:r>
    </w:p>
    <w:p w14:paraId="76200FCD">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1.3.1 采购范围：见供应商须知前附表。</w:t>
      </w:r>
    </w:p>
    <w:p w14:paraId="1E234F4F">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1.3.2 服务期限：见供应商须知前附表。</w:t>
      </w:r>
    </w:p>
    <w:p w14:paraId="51F72999">
      <w:pPr>
        <w:adjustRightInd w:val="0"/>
        <w:snapToGrid w:val="0"/>
        <w:spacing w:line="490" w:lineRule="exact"/>
        <w:rPr>
          <w:rFonts w:hint="eastAsia" w:asciiTheme="majorEastAsia" w:hAnsiTheme="majorEastAsia" w:eastAsiaTheme="majorEastAsia" w:cstheme="majorEastAsia"/>
          <w:b/>
          <w:color w:val="auto"/>
          <w:highlight w:val="none"/>
        </w:rPr>
      </w:pPr>
      <w:bookmarkStart w:id="93" w:name="_Toc343525509"/>
      <w:bookmarkStart w:id="94" w:name="_Toc246996179"/>
      <w:bookmarkStart w:id="95" w:name="_Toc179632551"/>
      <w:bookmarkStart w:id="96" w:name="_Toc152045534"/>
      <w:bookmarkStart w:id="97" w:name="_Toc144974502"/>
      <w:bookmarkStart w:id="98" w:name="_Toc383438596"/>
      <w:bookmarkStart w:id="99" w:name="_Toc246996922"/>
      <w:bookmarkStart w:id="100" w:name="_Toc152042310"/>
      <w:bookmarkStart w:id="101" w:name="_Toc426469875"/>
      <w:bookmarkStart w:id="102" w:name="_Toc247085693"/>
      <w:r>
        <w:rPr>
          <w:rFonts w:hint="eastAsia" w:asciiTheme="majorEastAsia" w:hAnsiTheme="majorEastAsia" w:eastAsiaTheme="majorEastAsia" w:cstheme="majorEastAsia"/>
          <w:b/>
          <w:color w:val="auto"/>
          <w:highlight w:val="none"/>
        </w:rPr>
        <w:t>1.4 供应商资格要求</w:t>
      </w:r>
      <w:bookmarkEnd w:id="93"/>
      <w:bookmarkEnd w:id="94"/>
      <w:bookmarkEnd w:id="95"/>
      <w:bookmarkEnd w:id="96"/>
      <w:bookmarkEnd w:id="97"/>
      <w:bookmarkEnd w:id="98"/>
      <w:bookmarkEnd w:id="99"/>
      <w:bookmarkEnd w:id="100"/>
      <w:bookmarkEnd w:id="101"/>
      <w:bookmarkEnd w:id="102"/>
    </w:p>
    <w:p w14:paraId="17B6B1C9">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1.4.1 供应商参加政府采购活动应当具备下列条件：</w:t>
      </w:r>
    </w:p>
    <w:p w14:paraId="2ED96ED6">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（1）具有独立承担民事责任的能力；</w:t>
      </w:r>
    </w:p>
    <w:p w14:paraId="1B7F9A00">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（2）具有良好的商业信誉和健全的财务会计制度；</w:t>
      </w:r>
    </w:p>
    <w:p w14:paraId="336C7713">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（3）具有履行合同所必需的设备和专业技术能力；</w:t>
      </w:r>
    </w:p>
    <w:p w14:paraId="16C4224E">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（4）有依法缴纳税收和社会保障资金的良好记录；</w:t>
      </w:r>
    </w:p>
    <w:p w14:paraId="6816257A">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（5）参加政府采购活动前三年内，在经营活动中没有重大违法记录；</w:t>
      </w:r>
    </w:p>
    <w:p w14:paraId="56654178">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（6）法律、行政法规规定的其他条件。</w:t>
      </w:r>
    </w:p>
    <w:p w14:paraId="02D363EC">
      <w:pPr>
        <w:adjustRightInd w:val="0"/>
        <w:snapToGrid w:val="0"/>
        <w:spacing w:line="49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1.4.2根据采购项目特殊要求，要求供应商具备的特定条件：见供应商须知前附表。</w:t>
      </w:r>
    </w:p>
    <w:p w14:paraId="3EA89CF9">
      <w:pPr>
        <w:adjustRightInd w:val="0"/>
        <w:snapToGrid w:val="0"/>
        <w:spacing w:line="49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1.4.3供应商不得存在下列情形之一：</w:t>
      </w:r>
    </w:p>
    <w:p w14:paraId="6A451BF4">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（l）与招标人或采购代理机构存在隶属关系或者其他利害关系；</w:t>
      </w:r>
    </w:p>
    <w:p w14:paraId="377F63D4">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（2）为采购项目提供了整体设计、规范编制或者项目管理、监理、检测等服务；</w:t>
      </w:r>
    </w:p>
    <w:p w14:paraId="7B00791A">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（3）单位负责人为同一人或者存在直接控股、管理关系的不同供应商，参加同一合同项下的政府采购活动。</w:t>
      </w:r>
    </w:p>
    <w:p w14:paraId="609D3507">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（4）以联合体形式参加政府采购活动的，联合体各方再单独参加或者与其他供应商另外组成联合体参加同一合同项下的政府采购活动。</w:t>
      </w:r>
    </w:p>
    <w:p w14:paraId="4EF00D61">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（5）法律、行政法规规定的其他条件。</w:t>
      </w:r>
    </w:p>
    <w:p w14:paraId="07080113">
      <w:pPr>
        <w:adjustRightInd w:val="0"/>
        <w:snapToGrid w:val="0"/>
        <w:spacing w:line="490" w:lineRule="exact"/>
        <w:rPr>
          <w:rFonts w:hint="eastAsia" w:asciiTheme="majorEastAsia" w:hAnsiTheme="majorEastAsia" w:eastAsiaTheme="majorEastAsia" w:cstheme="majorEastAsia"/>
          <w:b/>
          <w:color w:val="auto"/>
          <w:highlight w:val="none"/>
        </w:rPr>
      </w:pPr>
      <w:bookmarkStart w:id="103" w:name="_Toc179632552"/>
      <w:bookmarkStart w:id="104" w:name="_Toc426469876"/>
      <w:bookmarkStart w:id="105" w:name="_Toc152045535"/>
      <w:bookmarkStart w:id="106" w:name="_Toc246996180"/>
      <w:bookmarkStart w:id="107" w:name="_Toc343525510"/>
      <w:bookmarkStart w:id="108" w:name="_Toc144974503"/>
      <w:bookmarkStart w:id="109" w:name="_Toc383438597"/>
      <w:bookmarkStart w:id="110" w:name="_Toc247085694"/>
      <w:bookmarkStart w:id="111" w:name="_Toc246996923"/>
      <w:bookmarkStart w:id="112" w:name="_Toc152042311"/>
      <w:r>
        <w:rPr>
          <w:rFonts w:hint="eastAsia" w:asciiTheme="majorEastAsia" w:hAnsiTheme="majorEastAsia" w:eastAsiaTheme="majorEastAsia" w:cstheme="majorEastAsia"/>
          <w:b/>
          <w:color w:val="auto"/>
          <w:highlight w:val="none"/>
        </w:rPr>
        <w:t>1.5费用承担</w:t>
      </w:r>
      <w:bookmarkEnd w:id="103"/>
      <w:bookmarkEnd w:id="104"/>
      <w:bookmarkEnd w:id="105"/>
      <w:bookmarkEnd w:id="106"/>
      <w:bookmarkEnd w:id="107"/>
      <w:bookmarkEnd w:id="108"/>
      <w:bookmarkEnd w:id="109"/>
      <w:bookmarkEnd w:id="110"/>
      <w:bookmarkEnd w:id="111"/>
      <w:bookmarkEnd w:id="112"/>
    </w:p>
    <w:p w14:paraId="5481E9D9">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无论采购结果如何，供应商为准备和参加投标活动发生的费用自理。</w:t>
      </w:r>
    </w:p>
    <w:p w14:paraId="698907BD">
      <w:pPr>
        <w:adjustRightInd w:val="0"/>
        <w:snapToGrid w:val="0"/>
        <w:spacing w:line="490" w:lineRule="exact"/>
        <w:rPr>
          <w:rFonts w:hint="eastAsia" w:asciiTheme="majorEastAsia" w:hAnsiTheme="majorEastAsia" w:eastAsiaTheme="majorEastAsia" w:cstheme="majorEastAsia"/>
          <w:b/>
          <w:color w:val="auto"/>
          <w:highlight w:val="none"/>
        </w:rPr>
      </w:pPr>
      <w:bookmarkStart w:id="113" w:name="_Toc144974505"/>
      <w:bookmarkStart w:id="114" w:name="_Toc152042313"/>
      <w:bookmarkStart w:id="115" w:name="_Toc383438599"/>
      <w:bookmarkStart w:id="116" w:name="_Toc247085696"/>
      <w:bookmarkStart w:id="117" w:name="_Toc179632554"/>
      <w:bookmarkStart w:id="118" w:name="_Toc426469878"/>
      <w:bookmarkStart w:id="119" w:name="_Toc246996182"/>
      <w:bookmarkStart w:id="120" w:name="_Toc343525512"/>
      <w:bookmarkStart w:id="121" w:name="_Toc152045537"/>
      <w:bookmarkStart w:id="122" w:name="_Toc246996925"/>
      <w:r>
        <w:rPr>
          <w:rFonts w:hint="eastAsia" w:asciiTheme="majorEastAsia" w:hAnsiTheme="majorEastAsia" w:eastAsiaTheme="majorEastAsia" w:cstheme="majorEastAsia"/>
          <w:b/>
          <w:color w:val="auto"/>
          <w:highlight w:val="none"/>
        </w:rPr>
        <w:t>1.6语言</w:t>
      </w:r>
      <w:bookmarkEnd w:id="113"/>
      <w:r>
        <w:rPr>
          <w:rFonts w:hint="eastAsia" w:asciiTheme="majorEastAsia" w:hAnsiTheme="majorEastAsia" w:eastAsiaTheme="majorEastAsia" w:cstheme="majorEastAsia"/>
          <w:b/>
          <w:color w:val="auto"/>
          <w:highlight w:val="none"/>
        </w:rPr>
        <w:t>文字</w:t>
      </w:r>
      <w:bookmarkEnd w:id="114"/>
      <w:bookmarkEnd w:id="115"/>
      <w:bookmarkEnd w:id="116"/>
      <w:bookmarkEnd w:id="117"/>
      <w:bookmarkEnd w:id="118"/>
      <w:bookmarkEnd w:id="119"/>
      <w:bookmarkEnd w:id="120"/>
      <w:bookmarkEnd w:id="121"/>
      <w:bookmarkEnd w:id="122"/>
    </w:p>
    <w:p w14:paraId="3EDDAA33">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bookmarkStart w:id="123" w:name="_Toc246996183"/>
      <w:bookmarkStart w:id="124" w:name="_Toc179632555"/>
      <w:bookmarkStart w:id="125" w:name="_Toc246996926"/>
      <w:bookmarkStart w:id="126" w:name="_Toc152045538"/>
      <w:bookmarkStart w:id="127" w:name="_Toc144974506"/>
      <w:bookmarkStart w:id="128" w:name="_Toc247085697"/>
      <w:bookmarkStart w:id="129" w:name="_Toc152042314"/>
      <w:r>
        <w:rPr>
          <w:rFonts w:hint="eastAsia" w:asciiTheme="majorEastAsia" w:hAnsiTheme="majorEastAsia" w:eastAsiaTheme="majorEastAsia" w:cstheme="majorEastAsia"/>
          <w:color w:val="auto"/>
          <w:highlight w:val="none"/>
        </w:rPr>
        <w:t>招投标文件使用的语言文字为中文。专用术语使用外文的，应附有中文注释。</w:t>
      </w:r>
    </w:p>
    <w:p w14:paraId="57C9C14E">
      <w:pPr>
        <w:adjustRightInd w:val="0"/>
        <w:snapToGrid w:val="0"/>
        <w:spacing w:line="490" w:lineRule="exact"/>
        <w:rPr>
          <w:rFonts w:hint="eastAsia" w:asciiTheme="majorEastAsia" w:hAnsiTheme="majorEastAsia" w:eastAsiaTheme="majorEastAsia" w:cstheme="majorEastAsia"/>
          <w:b/>
          <w:color w:val="auto"/>
          <w:highlight w:val="none"/>
        </w:rPr>
      </w:pPr>
      <w:bookmarkStart w:id="130" w:name="_Toc343525513"/>
      <w:bookmarkStart w:id="131" w:name="_Toc383438600"/>
      <w:bookmarkStart w:id="132" w:name="_Toc426469879"/>
      <w:r>
        <w:rPr>
          <w:rFonts w:hint="eastAsia" w:asciiTheme="majorEastAsia" w:hAnsiTheme="majorEastAsia" w:eastAsiaTheme="majorEastAsia" w:cstheme="majorEastAsia"/>
          <w:b/>
          <w:color w:val="auto"/>
          <w:highlight w:val="none"/>
        </w:rPr>
        <w:t>1.7 计量单位</w:t>
      </w:r>
      <w:bookmarkEnd w:id="123"/>
      <w:bookmarkEnd w:id="124"/>
      <w:bookmarkEnd w:id="125"/>
      <w:bookmarkEnd w:id="126"/>
      <w:bookmarkEnd w:id="127"/>
      <w:bookmarkEnd w:id="128"/>
      <w:bookmarkEnd w:id="129"/>
      <w:bookmarkEnd w:id="130"/>
      <w:bookmarkEnd w:id="131"/>
      <w:bookmarkEnd w:id="132"/>
    </w:p>
    <w:p w14:paraId="0AD92E00">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所有计量均采用中华人民共和国法定计量单位。</w:t>
      </w:r>
    </w:p>
    <w:p w14:paraId="10DAB021">
      <w:pPr>
        <w:adjustRightInd w:val="0"/>
        <w:snapToGrid w:val="0"/>
        <w:spacing w:line="490" w:lineRule="exact"/>
        <w:rPr>
          <w:rFonts w:hint="eastAsia" w:asciiTheme="majorEastAsia" w:hAnsiTheme="majorEastAsia" w:eastAsiaTheme="majorEastAsia" w:cstheme="majorEastAsia"/>
          <w:b/>
          <w:color w:val="auto"/>
          <w:highlight w:val="none"/>
        </w:rPr>
      </w:pPr>
      <w:bookmarkStart w:id="133" w:name="_Toc426469881"/>
      <w:r>
        <w:rPr>
          <w:rFonts w:hint="eastAsia" w:asciiTheme="majorEastAsia" w:hAnsiTheme="majorEastAsia" w:eastAsiaTheme="majorEastAsia" w:cstheme="majorEastAsia"/>
          <w:b/>
          <w:color w:val="auto"/>
          <w:highlight w:val="none"/>
        </w:rPr>
        <w:t>1.8偏离</w:t>
      </w:r>
      <w:bookmarkEnd w:id="133"/>
    </w:p>
    <w:p w14:paraId="08C0A822">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1.8.1偏离是指投标文件中的内容与招标文件中规定的技术参数、标准、服务要求等不一致的情形。优于招标文件规定的技术参数、标准、服务要求的为正偏离，反之为负偏离。</w:t>
      </w:r>
    </w:p>
    <w:p w14:paraId="2D77F704">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1.8.2偏离的具体要求见供应商须知前附表。</w:t>
      </w:r>
    </w:p>
    <w:p w14:paraId="57EC6A3E">
      <w:pPr>
        <w:adjustRightInd w:val="0"/>
        <w:snapToGrid w:val="0"/>
        <w:spacing w:line="490" w:lineRule="exact"/>
        <w:outlineLvl w:val="1"/>
        <w:rPr>
          <w:rFonts w:hint="eastAsia" w:asciiTheme="majorEastAsia" w:hAnsiTheme="majorEastAsia" w:eastAsiaTheme="majorEastAsia" w:cstheme="majorEastAsia"/>
          <w:color w:val="auto"/>
          <w:highlight w:val="none"/>
        </w:rPr>
      </w:pPr>
      <w:bookmarkStart w:id="134" w:name="_Toc426469882"/>
      <w:bookmarkStart w:id="135" w:name="_Toc383438604"/>
      <w:bookmarkStart w:id="136" w:name="_Toc3240"/>
      <w:bookmarkStart w:id="137" w:name="_Toc343525517"/>
      <w:r>
        <w:rPr>
          <w:rFonts w:hint="eastAsia" w:asciiTheme="majorEastAsia" w:hAnsiTheme="majorEastAsia" w:eastAsiaTheme="majorEastAsia" w:cstheme="majorEastAsia"/>
          <w:color w:val="auto"/>
          <w:highlight w:val="none"/>
        </w:rPr>
        <w:t>2. 招标文件</w:t>
      </w:r>
      <w:bookmarkEnd w:id="134"/>
      <w:bookmarkEnd w:id="135"/>
      <w:bookmarkEnd w:id="136"/>
      <w:bookmarkEnd w:id="137"/>
    </w:p>
    <w:p w14:paraId="6E79F4EF">
      <w:pPr>
        <w:adjustRightInd w:val="0"/>
        <w:snapToGrid w:val="0"/>
        <w:spacing w:line="490" w:lineRule="exact"/>
        <w:rPr>
          <w:rFonts w:hint="eastAsia" w:asciiTheme="majorEastAsia" w:hAnsiTheme="majorEastAsia" w:eastAsiaTheme="majorEastAsia" w:cstheme="majorEastAsia"/>
          <w:b/>
          <w:color w:val="auto"/>
          <w:highlight w:val="none"/>
        </w:rPr>
      </w:pPr>
      <w:bookmarkStart w:id="138" w:name="_Toc144974511"/>
      <w:bookmarkStart w:id="139" w:name="_Toc343525518"/>
      <w:bookmarkStart w:id="140" w:name="_Toc152042319"/>
      <w:bookmarkStart w:id="141" w:name="_Toc383438605"/>
      <w:bookmarkStart w:id="142" w:name="_Toc179632561"/>
      <w:bookmarkStart w:id="143" w:name="_Toc152045543"/>
      <w:bookmarkStart w:id="144" w:name="_Toc246996188"/>
      <w:bookmarkStart w:id="145" w:name="_Toc426469883"/>
      <w:bookmarkStart w:id="146" w:name="_Toc247085702"/>
      <w:bookmarkStart w:id="147" w:name="_Toc246996931"/>
      <w:r>
        <w:rPr>
          <w:rFonts w:hint="eastAsia" w:asciiTheme="majorEastAsia" w:hAnsiTheme="majorEastAsia" w:eastAsiaTheme="majorEastAsia" w:cstheme="majorEastAsia"/>
          <w:b/>
          <w:color w:val="auto"/>
          <w:highlight w:val="none"/>
        </w:rPr>
        <w:t>2.1 招标文件的组成</w:t>
      </w:r>
      <w:bookmarkEnd w:id="138"/>
      <w:bookmarkEnd w:id="139"/>
      <w:bookmarkEnd w:id="140"/>
      <w:bookmarkEnd w:id="141"/>
      <w:bookmarkEnd w:id="142"/>
      <w:bookmarkEnd w:id="143"/>
      <w:bookmarkEnd w:id="144"/>
      <w:bookmarkEnd w:id="145"/>
      <w:bookmarkEnd w:id="146"/>
      <w:bookmarkEnd w:id="147"/>
    </w:p>
    <w:p w14:paraId="2B6E9760">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2.1.1 本招标文件包括：</w:t>
      </w:r>
    </w:p>
    <w:p w14:paraId="1A05EB48">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（1）招标公告；</w:t>
      </w:r>
    </w:p>
    <w:p w14:paraId="4B182583">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（2）供应商须知；</w:t>
      </w:r>
    </w:p>
    <w:p w14:paraId="365B5125">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（3）评标办法；</w:t>
      </w:r>
    </w:p>
    <w:p w14:paraId="31F3D3CF">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（4）合同条款及格式；</w:t>
      </w:r>
    </w:p>
    <w:p w14:paraId="2A780A40">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（5）采购需求； </w:t>
      </w:r>
    </w:p>
    <w:p w14:paraId="1D62EB3E">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（6）投标文件的编制要求及参考格式；</w:t>
      </w:r>
    </w:p>
    <w:p w14:paraId="7D1ADF5F">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（7）供应商须知前附表规定的构成招标文件的其他材料。</w:t>
      </w:r>
    </w:p>
    <w:p w14:paraId="7E40BFF4">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2.1.2根据本章第2.2款和第2.3款对招标文件所作的澄清、修改，构成招标文件的组成部分。</w:t>
      </w:r>
    </w:p>
    <w:p w14:paraId="63B96DE2">
      <w:pPr>
        <w:adjustRightInd w:val="0"/>
        <w:snapToGrid w:val="0"/>
        <w:spacing w:line="490" w:lineRule="exact"/>
        <w:rPr>
          <w:rFonts w:hint="eastAsia" w:asciiTheme="majorEastAsia" w:hAnsiTheme="majorEastAsia" w:eastAsiaTheme="majorEastAsia" w:cstheme="majorEastAsia"/>
          <w:b/>
          <w:color w:val="auto"/>
          <w:highlight w:val="none"/>
        </w:rPr>
      </w:pPr>
      <w:bookmarkStart w:id="148" w:name="_Toc426469884"/>
      <w:bookmarkStart w:id="149" w:name="_Toc246996189"/>
      <w:bookmarkStart w:id="150" w:name="_Toc179632562"/>
      <w:bookmarkStart w:id="151" w:name="_Toc343525519"/>
      <w:bookmarkStart w:id="152" w:name="_Toc152042320"/>
      <w:bookmarkStart w:id="153" w:name="_Toc144974512"/>
      <w:bookmarkStart w:id="154" w:name="_Toc383438606"/>
      <w:bookmarkStart w:id="155" w:name="_Toc152045544"/>
      <w:bookmarkStart w:id="156" w:name="_Toc246996932"/>
      <w:bookmarkStart w:id="157" w:name="_Toc247085703"/>
      <w:r>
        <w:rPr>
          <w:rFonts w:hint="eastAsia" w:asciiTheme="majorEastAsia" w:hAnsiTheme="majorEastAsia" w:eastAsiaTheme="majorEastAsia" w:cstheme="majorEastAsia"/>
          <w:b/>
          <w:color w:val="auto"/>
          <w:highlight w:val="none"/>
        </w:rPr>
        <w:t>2.2 招标文件的澄清</w:t>
      </w:r>
      <w:bookmarkEnd w:id="148"/>
      <w:bookmarkEnd w:id="149"/>
      <w:bookmarkEnd w:id="150"/>
      <w:bookmarkEnd w:id="151"/>
      <w:bookmarkEnd w:id="152"/>
      <w:bookmarkEnd w:id="153"/>
      <w:bookmarkEnd w:id="154"/>
      <w:bookmarkEnd w:id="155"/>
      <w:bookmarkEnd w:id="156"/>
      <w:bookmarkEnd w:id="157"/>
      <w:r>
        <w:rPr>
          <w:rFonts w:hint="eastAsia" w:asciiTheme="majorEastAsia" w:hAnsiTheme="majorEastAsia" w:eastAsiaTheme="majorEastAsia" w:cstheme="majorEastAsia"/>
          <w:b/>
          <w:color w:val="auto"/>
          <w:highlight w:val="none"/>
        </w:rPr>
        <w:t xml:space="preserve"> </w:t>
      </w:r>
    </w:p>
    <w:p w14:paraId="7383185A">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p>
    <w:p w14:paraId="1B03A350">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招标文件的澄清将在投标截止时间15天前在原公告信息发布媒体公开发布,但不指明问题的来源。如果澄清发布的时间距投标截止时间不足15天，并且澄清内容影响投标文件编制的，将相应延长投标截止时间。</w:t>
      </w:r>
    </w:p>
    <w:p w14:paraId="5CC00FE2">
      <w:pPr>
        <w:adjustRightInd w:val="0"/>
        <w:snapToGrid w:val="0"/>
        <w:spacing w:line="490" w:lineRule="exact"/>
        <w:rPr>
          <w:rFonts w:hint="eastAsia" w:asciiTheme="majorEastAsia" w:hAnsiTheme="majorEastAsia" w:eastAsiaTheme="majorEastAsia" w:cstheme="majorEastAsia"/>
          <w:b/>
          <w:color w:val="auto"/>
          <w:highlight w:val="none"/>
        </w:rPr>
      </w:pPr>
      <w:bookmarkStart w:id="158" w:name="_Toc247085704"/>
      <w:bookmarkStart w:id="159" w:name="_Toc179632563"/>
      <w:bookmarkStart w:id="160" w:name="_Toc383438607"/>
      <w:bookmarkStart w:id="161" w:name="_Toc426469885"/>
      <w:bookmarkStart w:id="162" w:name="_Toc246996933"/>
      <w:bookmarkStart w:id="163" w:name="_Toc144974513"/>
      <w:bookmarkStart w:id="164" w:name="_Toc343525520"/>
      <w:bookmarkStart w:id="165" w:name="_Toc152042321"/>
      <w:bookmarkStart w:id="166" w:name="_Toc152045545"/>
      <w:bookmarkStart w:id="167" w:name="_Toc246996190"/>
      <w:r>
        <w:rPr>
          <w:rFonts w:hint="eastAsia" w:asciiTheme="majorEastAsia" w:hAnsiTheme="majorEastAsia" w:eastAsiaTheme="majorEastAsia" w:cstheme="majorEastAsia"/>
          <w:b/>
          <w:color w:val="auto"/>
          <w:highlight w:val="none"/>
        </w:rPr>
        <w:t>2.3 招标文件的修改</w:t>
      </w:r>
      <w:bookmarkEnd w:id="158"/>
      <w:bookmarkEnd w:id="159"/>
      <w:bookmarkEnd w:id="160"/>
      <w:bookmarkEnd w:id="161"/>
      <w:bookmarkEnd w:id="162"/>
      <w:bookmarkEnd w:id="163"/>
      <w:bookmarkEnd w:id="164"/>
      <w:bookmarkEnd w:id="165"/>
      <w:bookmarkEnd w:id="166"/>
      <w:bookmarkEnd w:id="167"/>
    </w:p>
    <w:p w14:paraId="08B093D2">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p>
    <w:p w14:paraId="7DC839A6">
      <w:pPr>
        <w:adjustRightInd w:val="0"/>
        <w:snapToGrid w:val="0"/>
        <w:spacing w:line="49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2.4招标文件的重新发布</w:t>
      </w:r>
    </w:p>
    <w:p w14:paraId="79FD9F8F">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招标文件的澄清或修改涉及到申请人的资格条件、评标办法、采购需求等实质性内容时，将重新发布招标公告。</w:t>
      </w:r>
    </w:p>
    <w:p w14:paraId="6C493287">
      <w:pPr>
        <w:adjustRightInd w:val="0"/>
        <w:snapToGrid w:val="0"/>
        <w:spacing w:line="490" w:lineRule="exact"/>
        <w:outlineLvl w:val="1"/>
        <w:rPr>
          <w:rFonts w:hint="eastAsia" w:asciiTheme="majorEastAsia" w:hAnsiTheme="majorEastAsia" w:eastAsiaTheme="majorEastAsia" w:cstheme="majorEastAsia"/>
          <w:b/>
          <w:color w:val="auto"/>
          <w:highlight w:val="none"/>
        </w:rPr>
      </w:pPr>
      <w:bookmarkStart w:id="168" w:name="_Toc152042322"/>
      <w:bookmarkStart w:id="169" w:name="_Toc343525522"/>
      <w:bookmarkStart w:id="170" w:name="_Toc179632564"/>
      <w:bookmarkStart w:id="171" w:name="_Toc144974514"/>
      <w:bookmarkStart w:id="172" w:name="_Toc246996191"/>
      <w:bookmarkStart w:id="173" w:name="_Toc152045546"/>
      <w:bookmarkStart w:id="174" w:name="_Toc247085705"/>
      <w:bookmarkStart w:id="175" w:name="_Toc383438609"/>
      <w:bookmarkStart w:id="176" w:name="_Toc246996934"/>
      <w:bookmarkStart w:id="177" w:name="_Toc426469887"/>
      <w:bookmarkStart w:id="178" w:name="_Toc4709"/>
      <w:r>
        <w:rPr>
          <w:rFonts w:hint="eastAsia" w:asciiTheme="majorEastAsia" w:hAnsiTheme="majorEastAsia" w:eastAsiaTheme="majorEastAsia" w:cstheme="majorEastAsia"/>
          <w:b/>
          <w:color w:val="auto"/>
          <w:highlight w:val="none"/>
        </w:rPr>
        <w:t>3. 投标</w:t>
      </w:r>
      <w:bookmarkEnd w:id="168"/>
      <w:bookmarkEnd w:id="169"/>
      <w:bookmarkEnd w:id="170"/>
      <w:bookmarkEnd w:id="171"/>
      <w:bookmarkEnd w:id="172"/>
      <w:bookmarkEnd w:id="173"/>
      <w:bookmarkEnd w:id="174"/>
      <w:bookmarkEnd w:id="175"/>
      <w:bookmarkEnd w:id="176"/>
      <w:r>
        <w:rPr>
          <w:rFonts w:hint="eastAsia" w:asciiTheme="majorEastAsia" w:hAnsiTheme="majorEastAsia" w:eastAsiaTheme="majorEastAsia" w:cstheme="majorEastAsia"/>
          <w:b/>
          <w:color w:val="auto"/>
          <w:highlight w:val="none"/>
        </w:rPr>
        <w:t>文件</w:t>
      </w:r>
      <w:bookmarkEnd w:id="177"/>
      <w:bookmarkEnd w:id="178"/>
    </w:p>
    <w:p w14:paraId="11DDA5DA">
      <w:pPr>
        <w:adjustRightInd w:val="0"/>
        <w:snapToGrid w:val="0"/>
        <w:spacing w:line="490" w:lineRule="exact"/>
        <w:rPr>
          <w:rFonts w:hint="eastAsia" w:asciiTheme="majorEastAsia" w:hAnsiTheme="majorEastAsia" w:eastAsiaTheme="majorEastAsia" w:cstheme="majorEastAsia"/>
          <w:b/>
          <w:color w:val="auto"/>
          <w:highlight w:val="none"/>
        </w:rPr>
      </w:pPr>
      <w:bookmarkStart w:id="179" w:name="_Toc383438610"/>
      <w:bookmarkStart w:id="180" w:name="_Toc246996935"/>
      <w:bookmarkStart w:id="181" w:name="_Toc144974515"/>
      <w:bookmarkStart w:id="182" w:name="_Toc247085706"/>
      <w:bookmarkStart w:id="183" w:name="_Toc179632565"/>
      <w:bookmarkStart w:id="184" w:name="_Toc152042323"/>
      <w:bookmarkStart w:id="185" w:name="_Toc152045547"/>
      <w:bookmarkStart w:id="186" w:name="_Toc246996192"/>
      <w:bookmarkStart w:id="187" w:name="_Toc343525523"/>
      <w:bookmarkStart w:id="188" w:name="_Toc426469888"/>
      <w:r>
        <w:rPr>
          <w:rFonts w:hint="eastAsia" w:asciiTheme="majorEastAsia" w:hAnsiTheme="majorEastAsia" w:eastAsiaTheme="majorEastAsia" w:cstheme="majorEastAsia"/>
          <w:b/>
          <w:color w:val="auto"/>
          <w:highlight w:val="none"/>
        </w:rPr>
        <w:t>3.1</w:t>
      </w:r>
      <w:bookmarkEnd w:id="179"/>
      <w:bookmarkEnd w:id="180"/>
      <w:bookmarkEnd w:id="181"/>
      <w:bookmarkEnd w:id="182"/>
      <w:bookmarkEnd w:id="183"/>
      <w:bookmarkEnd w:id="184"/>
      <w:bookmarkEnd w:id="185"/>
      <w:bookmarkEnd w:id="186"/>
      <w:bookmarkEnd w:id="187"/>
      <w:r>
        <w:rPr>
          <w:rFonts w:hint="eastAsia" w:asciiTheme="majorEastAsia" w:hAnsiTheme="majorEastAsia" w:eastAsiaTheme="majorEastAsia" w:cstheme="majorEastAsia"/>
          <w:b/>
          <w:color w:val="auto"/>
          <w:highlight w:val="none"/>
        </w:rPr>
        <w:t>投标文件的组成</w:t>
      </w:r>
      <w:bookmarkEnd w:id="188"/>
    </w:p>
    <w:p w14:paraId="428A6CFE">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投标文件的组成：见供应商须知前附表。</w:t>
      </w:r>
    </w:p>
    <w:p w14:paraId="67BE04A5">
      <w:pPr>
        <w:adjustRightInd w:val="0"/>
        <w:snapToGrid w:val="0"/>
        <w:spacing w:line="490" w:lineRule="exact"/>
        <w:rPr>
          <w:rFonts w:hint="eastAsia" w:asciiTheme="majorEastAsia" w:hAnsiTheme="majorEastAsia" w:eastAsiaTheme="majorEastAsia" w:cstheme="majorEastAsia"/>
          <w:b/>
          <w:color w:val="auto"/>
          <w:highlight w:val="none"/>
        </w:rPr>
      </w:pPr>
      <w:bookmarkStart w:id="189" w:name="_Toc367785004"/>
      <w:bookmarkStart w:id="190" w:name="_Toc426469889"/>
      <w:r>
        <w:rPr>
          <w:rFonts w:hint="eastAsia" w:asciiTheme="majorEastAsia" w:hAnsiTheme="majorEastAsia" w:eastAsiaTheme="majorEastAsia" w:cstheme="majorEastAsia"/>
          <w:b/>
          <w:color w:val="auto"/>
          <w:highlight w:val="none"/>
        </w:rPr>
        <w:t>3.2</w:t>
      </w:r>
      <w:bookmarkEnd w:id="189"/>
      <w:r>
        <w:rPr>
          <w:rFonts w:hint="eastAsia" w:asciiTheme="majorEastAsia" w:hAnsiTheme="majorEastAsia" w:eastAsiaTheme="majorEastAsia" w:cstheme="majorEastAsia"/>
          <w:b/>
          <w:color w:val="auto"/>
          <w:highlight w:val="none"/>
        </w:rPr>
        <w:t>投标报价</w:t>
      </w:r>
      <w:bookmarkEnd w:id="190"/>
    </w:p>
    <w:p w14:paraId="578D3E1A">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3.2.1供应商应按招标文件规定的供货及服务要求、责任范围和合同条件，以人民币进行报价。</w:t>
      </w:r>
    </w:p>
    <w:p w14:paraId="7AC9B9F0">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3.2.2供应商在投标文件中只能有一个投标报价，且不得超过招标公告中载明的最高限价。任何包含价格调整要求和条件的投标报价均将视为无效报价。</w:t>
      </w:r>
    </w:p>
    <w:p w14:paraId="34EEFA0C">
      <w:pPr>
        <w:adjustRightInd w:val="0"/>
        <w:snapToGrid w:val="0"/>
        <w:spacing w:line="490" w:lineRule="exact"/>
        <w:rPr>
          <w:rFonts w:hint="eastAsia" w:asciiTheme="majorEastAsia" w:hAnsiTheme="majorEastAsia" w:eastAsiaTheme="majorEastAsia" w:cstheme="majorEastAsia"/>
          <w:b/>
          <w:color w:val="auto"/>
          <w:highlight w:val="none"/>
        </w:rPr>
      </w:pPr>
      <w:bookmarkStart w:id="191" w:name="_Toc152042325"/>
      <w:bookmarkStart w:id="192" w:name="_Toc247085708"/>
      <w:bookmarkStart w:id="193" w:name="_Toc383438612"/>
      <w:bookmarkStart w:id="194" w:name="_Toc246996937"/>
      <w:bookmarkStart w:id="195" w:name="_Toc144974517"/>
      <w:bookmarkStart w:id="196" w:name="_Toc426469890"/>
      <w:bookmarkStart w:id="197" w:name="_Toc246996194"/>
      <w:bookmarkStart w:id="198" w:name="_Toc152045549"/>
      <w:bookmarkStart w:id="199" w:name="_Toc179632567"/>
      <w:bookmarkStart w:id="200" w:name="_Toc343525525"/>
      <w:r>
        <w:rPr>
          <w:rFonts w:hint="eastAsia" w:asciiTheme="majorEastAsia" w:hAnsiTheme="majorEastAsia" w:eastAsiaTheme="majorEastAsia" w:cstheme="majorEastAsia"/>
          <w:b/>
          <w:color w:val="auto"/>
          <w:highlight w:val="none"/>
        </w:rPr>
        <w:t>3.3投标有效期</w:t>
      </w:r>
      <w:bookmarkEnd w:id="191"/>
      <w:bookmarkEnd w:id="192"/>
      <w:bookmarkEnd w:id="193"/>
      <w:bookmarkEnd w:id="194"/>
      <w:bookmarkEnd w:id="195"/>
      <w:bookmarkEnd w:id="196"/>
      <w:bookmarkEnd w:id="197"/>
      <w:bookmarkEnd w:id="198"/>
      <w:bookmarkEnd w:id="199"/>
      <w:bookmarkEnd w:id="200"/>
    </w:p>
    <w:p w14:paraId="578442B5">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3.3.1在供应商须知前附表规定的投标有效期内，供应商不得要求撤销或修改其投标文件。</w:t>
      </w:r>
    </w:p>
    <w:p w14:paraId="7E3E1181">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3.3.2出现特殊情况需要延长投标有效期的，招标人将以书面形式通知供应商。供应商拒绝延长投标有效期的，其投标失效。</w:t>
      </w:r>
    </w:p>
    <w:p w14:paraId="73FC6C20">
      <w:pPr>
        <w:adjustRightInd w:val="0"/>
        <w:snapToGrid w:val="0"/>
        <w:spacing w:line="490" w:lineRule="exact"/>
        <w:rPr>
          <w:rFonts w:hint="eastAsia" w:asciiTheme="majorEastAsia" w:hAnsiTheme="majorEastAsia" w:eastAsiaTheme="majorEastAsia" w:cstheme="majorEastAsia"/>
          <w:b/>
          <w:color w:val="auto"/>
          <w:highlight w:val="none"/>
        </w:rPr>
      </w:pPr>
      <w:bookmarkStart w:id="201" w:name="_Toc426469892"/>
      <w:r>
        <w:rPr>
          <w:rFonts w:hint="eastAsia" w:asciiTheme="majorEastAsia" w:hAnsiTheme="majorEastAsia" w:eastAsiaTheme="majorEastAsia" w:cstheme="majorEastAsia"/>
          <w:b/>
          <w:color w:val="auto"/>
          <w:highlight w:val="none"/>
        </w:rPr>
        <w:t>3.4投标文件的编制</w:t>
      </w:r>
      <w:bookmarkEnd w:id="201"/>
    </w:p>
    <w:p w14:paraId="075429C6">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3.4.1供应商可以按照第六章“投标文件的编制要求及参考格式”要求编制投标文件。需另行增加的相关内容和材料应编入投标文件相应章节，作为投标文件的组成部分。</w:t>
      </w:r>
    </w:p>
    <w:p w14:paraId="1B4DDFA6">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3.4.2供应商应对招标文件中的资格要求、服务期限、投标有效期等实质性内容作出响应，并根据评审因素提供相应的证明材料。</w:t>
      </w:r>
    </w:p>
    <w:p w14:paraId="6A4053B9">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3.4.3 投标文件的数量：见供应商须知前附表</w:t>
      </w:r>
    </w:p>
    <w:p w14:paraId="0FE5CB2F">
      <w:pPr>
        <w:adjustRightInd w:val="0"/>
        <w:snapToGrid w:val="0"/>
        <w:spacing w:line="490" w:lineRule="exact"/>
        <w:ind w:firstLine="480" w:firstLineChars="200"/>
        <w:rPr>
          <w:rFonts w:hint="eastAsia" w:asciiTheme="majorEastAsia" w:hAnsiTheme="majorEastAsia" w:eastAsiaTheme="majorEastAsia" w:cstheme="majorEastAsia"/>
          <w:color w:val="auto"/>
          <w:highlight w:val="none"/>
        </w:rPr>
      </w:pPr>
      <w:bookmarkStart w:id="202" w:name="_Toc426469894"/>
      <w:bookmarkStart w:id="203" w:name="_Toc367785016"/>
      <w:r>
        <w:rPr>
          <w:rFonts w:hint="eastAsia" w:asciiTheme="majorEastAsia" w:hAnsiTheme="majorEastAsia" w:eastAsiaTheme="majorEastAsia" w:cstheme="majorEastAsia"/>
          <w:color w:val="auto"/>
          <w:highlight w:val="none"/>
        </w:rPr>
        <w:t>3.4.4投标文件的签署：见供应商须知前附表</w:t>
      </w:r>
    </w:p>
    <w:bookmarkEnd w:id="72"/>
    <w:bookmarkEnd w:id="202"/>
    <w:bookmarkEnd w:id="203"/>
    <w:p w14:paraId="4E2D6D58">
      <w:pPr>
        <w:adjustRightInd w:val="0"/>
        <w:snapToGrid w:val="0"/>
        <w:spacing w:line="490" w:lineRule="exact"/>
        <w:outlineLvl w:val="1"/>
        <w:rPr>
          <w:rFonts w:hint="eastAsia" w:asciiTheme="majorEastAsia" w:hAnsiTheme="majorEastAsia" w:eastAsiaTheme="majorEastAsia" w:cstheme="majorEastAsia"/>
          <w:color w:val="auto"/>
          <w:highlight w:val="none"/>
        </w:rPr>
      </w:pPr>
      <w:bookmarkStart w:id="204" w:name="_Toc12576"/>
      <w:bookmarkStart w:id="205" w:name="_Toc390098841"/>
      <w:bookmarkStart w:id="206" w:name="_Toc383625994"/>
      <w:bookmarkStart w:id="207" w:name="_Toc343525562"/>
      <w:bookmarkStart w:id="208" w:name="_Toc383438646"/>
      <w:bookmarkStart w:id="209" w:name="_Toc383623673"/>
      <w:bookmarkStart w:id="210" w:name="_Toc383679747"/>
      <w:bookmarkStart w:id="211" w:name="_Toc179632605"/>
      <w:bookmarkStart w:id="212" w:name="_Toc247085745"/>
      <w:bookmarkStart w:id="213" w:name="_Toc383623945"/>
      <w:bookmarkStart w:id="214" w:name="_Toc246996973"/>
      <w:bookmarkStart w:id="215" w:name="_Toc383587457"/>
      <w:bookmarkStart w:id="216" w:name="_Toc144974554"/>
      <w:bookmarkStart w:id="217" w:name="_Toc246996230"/>
      <w:bookmarkStart w:id="218" w:name="_Toc390099019"/>
      <w:bookmarkStart w:id="219" w:name="_Toc152042364"/>
      <w:bookmarkStart w:id="220" w:name="_Toc152045587"/>
      <w:bookmarkStart w:id="221" w:name="_Toc383698648"/>
      <w:bookmarkStart w:id="222" w:name="_Toc390246906"/>
      <w:r>
        <w:rPr>
          <w:rFonts w:hint="eastAsia" w:asciiTheme="majorEastAsia" w:hAnsiTheme="majorEastAsia" w:eastAsiaTheme="majorEastAsia" w:cstheme="majorEastAsia"/>
          <w:color w:val="auto"/>
          <w:highlight w:val="none"/>
        </w:rPr>
        <w:t>4.投标</w:t>
      </w:r>
      <w:bookmarkEnd w:id="204"/>
    </w:p>
    <w:p w14:paraId="3A7C3CEA">
      <w:pPr>
        <w:adjustRightInd w:val="0"/>
        <w:snapToGrid w:val="0"/>
        <w:spacing w:line="490" w:lineRule="exact"/>
        <w:rPr>
          <w:rFonts w:hint="eastAsia" w:asciiTheme="majorEastAsia" w:hAnsiTheme="majorEastAsia" w:eastAsiaTheme="majorEastAsia" w:cstheme="majorEastAsia"/>
          <w:b/>
          <w:bCs/>
          <w:color w:val="auto"/>
          <w:sz w:val="24"/>
          <w:szCs w:val="24"/>
          <w:highlight w:val="none"/>
        </w:rPr>
      </w:pPr>
      <w:bookmarkStart w:id="223" w:name="_Toc26062"/>
      <w:r>
        <w:rPr>
          <w:rFonts w:hint="eastAsia" w:asciiTheme="majorEastAsia" w:hAnsiTheme="majorEastAsia" w:eastAsiaTheme="majorEastAsia" w:cstheme="majorEastAsia"/>
          <w:b/>
          <w:color w:val="auto"/>
          <w:sz w:val="24"/>
          <w:szCs w:val="24"/>
          <w:highlight w:val="none"/>
        </w:rPr>
        <w:t>4.1</w:t>
      </w:r>
      <w:r>
        <w:rPr>
          <w:rFonts w:hint="eastAsia" w:asciiTheme="majorEastAsia" w:hAnsiTheme="majorEastAsia" w:eastAsiaTheme="majorEastAsia" w:cstheme="majorEastAsia"/>
          <w:b/>
          <w:bCs/>
          <w:color w:val="auto"/>
          <w:sz w:val="24"/>
          <w:szCs w:val="24"/>
          <w:highlight w:val="none"/>
        </w:rPr>
        <w:t>投标文件的上传</w:t>
      </w:r>
    </w:p>
    <w:p w14:paraId="04677101">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供应商</w:t>
      </w:r>
      <w:r>
        <w:rPr>
          <w:rFonts w:hint="eastAsia" w:asciiTheme="majorEastAsia" w:hAnsiTheme="majorEastAsia" w:eastAsiaTheme="majorEastAsia" w:cstheme="majorEastAsia"/>
          <w:color w:val="auto"/>
          <w:sz w:val="24"/>
          <w:szCs w:val="24"/>
          <w:highlight w:val="none"/>
        </w:rPr>
        <w:t>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0202650E">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4.2投标文件的修改与撤回</w:t>
      </w:r>
    </w:p>
    <w:p w14:paraId="6D5B1705">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4.2.1在投标截止时间前，</w:t>
      </w:r>
      <w:r>
        <w:rPr>
          <w:rFonts w:hint="eastAsia" w:asciiTheme="majorEastAsia" w:hAnsiTheme="majorEastAsia" w:eastAsiaTheme="majorEastAsia" w:cstheme="majorEastAsia"/>
          <w:color w:val="auto"/>
          <w:sz w:val="24"/>
          <w:szCs w:val="24"/>
          <w:highlight w:val="none"/>
          <w:lang w:eastAsia="zh-CN"/>
        </w:rPr>
        <w:t>供应商</w:t>
      </w:r>
      <w:r>
        <w:rPr>
          <w:rFonts w:hint="eastAsia" w:asciiTheme="majorEastAsia" w:hAnsiTheme="majorEastAsia" w:eastAsiaTheme="majorEastAsia" w:cstheme="majorEastAsia"/>
          <w:color w:val="auto"/>
          <w:sz w:val="24"/>
          <w:szCs w:val="24"/>
          <w:highlight w:val="none"/>
        </w:rPr>
        <w:t>可以修改或撤回已递交的投标文件。具体操作方法见《江苏省政府采购管理交易系统（苏采云）供应商操作手册》。</w:t>
      </w:r>
    </w:p>
    <w:p w14:paraId="2A84AAD4">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4.2.2修改的投标文件应按照本招标文件规定进行编制和重新上传。</w:t>
      </w:r>
    </w:p>
    <w:p w14:paraId="331D1068">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4.3投标文件的确认</w:t>
      </w:r>
    </w:p>
    <w:p w14:paraId="20DCFC22">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供应商</w:t>
      </w:r>
      <w:r>
        <w:rPr>
          <w:rFonts w:hint="eastAsia" w:asciiTheme="majorEastAsia" w:hAnsiTheme="majorEastAsia" w:eastAsiaTheme="majorEastAsia" w:cstheme="majorEastAsia"/>
          <w:color w:val="auto"/>
          <w:sz w:val="24"/>
          <w:szCs w:val="24"/>
          <w:highlight w:val="none"/>
        </w:rPr>
        <w:t>可以通过江苏省政府采购管理交易系统（苏采云）多次上传投标文件，以招标文件规定的投标截止时间前，江苏省政府采购管理交易系统（苏采云）接受到的最后一份投标文件为准。</w:t>
      </w:r>
    </w:p>
    <w:bookmarkEnd w:id="44"/>
    <w:bookmarkEnd w:id="45"/>
    <w:bookmarkEnd w:id="46"/>
    <w:bookmarkEnd w:id="47"/>
    <w:bookmarkEnd w:id="48"/>
    <w:bookmarkEnd w:id="49"/>
    <w:bookmarkEnd w:id="50"/>
    <w:bookmarkEnd w:id="51"/>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14:paraId="7D3AFB53">
      <w:pPr>
        <w:adjustRightInd w:val="0"/>
        <w:snapToGrid w:val="0"/>
        <w:spacing w:line="490" w:lineRule="exact"/>
        <w:outlineLvl w:val="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 开标</w:t>
      </w:r>
    </w:p>
    <w:p w14:paraId="6649F817">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5.1 开标时间和地点</w:t>
      </w:r>
    </w:p>
    <w:p w14:paraId="5327D10A">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5.1.1开标时间和地点：见</w:t>
      </w:r>
      <w:r>
        <w:rPr>
          <w:rFonts w:hint="eastAsia" w:asciiTheme="majorEastAsia" w:hAnsiTheme="majorEastAsia" w:eastAsiaTheme="majorEastAsia" w:cstheme="majorEastAsia"/>
          <w:color w:val="auto"/>
          <w:sz w:val="24"/>
          <w:szCs w:val="24"/>
          <w:highlight w:val="none"/>
          <w:lang w:eastAsia="zh-CN"/>
        </w:rPr>
        <w:t>供应商</w:t>
      </w:r>
      <w:r>
        <w:rPr>
          <w:rFonts w:hint="eastAsia" w:asciiTheme="majorEastAsia" w:hAnsiTheme="majorEastAsia" w:eastAsiaTheme="majorEastAsia" w:cstheme="majorEastAsia"/>
          <w:color w:val="auto"/>
          <w:sz w:val="24"/>
          <w:szCs w:val="24"/>
          <w:highlight w:val="none"/>
        </w:rPr>
        <w:t>须知前附表。</w:t>
      </w:r>
    </w:p>
    <w:p w14:paraId="4EE19632">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5.1.2开标活动在江苏政府采购“苏采云”系统“开标大厅”内公开进行，</w:t>
      </w:r>
      <w:r>
        <w:rPr>
          <w:rFonts w:hint="eastAsia" w:asciiTheme="majorEastAsia" w:hAnsiTheme="majorEastAsia" w:eastAsiaTheme="majorEastAsia" w:cstheme="majorEastAsia"/>
          <w:color w:val="auto"/>
          <w:sz w:val="24"/>
          <w:szCs w:val="24"/>
          <w:highlight w:val="none"/>
          <w:lang w:eastAsia="zh-CN"/>
        </w:rPr>
        <w:t>供应商</w:t>
      </w:r>
      <w:r>
        <w:rPr>
          <w:rFonts w:hint="eastAsia" w:asciiTheme="majorEastAsia" w:hAnsiTheme="majorEastAsia" w:eastAsiaTheme="majorEastAsia" w:cstheme="majorEastAsia"/>
          <w:color w:val="auto"/>
          <w:sz w:val="24"/>
          <w:szCs w:val="24"/>
          <w:highlight w:val="none"/>
        </w:rPr>
        <w:t>应当按照《江苏省政府采购管理交易系统（苏采云）供应商操作手册》规定，参加开标活动。</w:t>
      </w:r>
    </w:p>
    <w:p w14:paraId="39EF6989">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5.2 不见面开标程序</w:t>
      </w:r>
    </w:p>
    <w:p w14:paraId="657DBFF3">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（1）系统登录。</w:t>
      </w:r>
      <w:r>
        <w:rPr>
          <w:rFonts w:hint="eastAsia" w:asciiTheme="majorEastAsia" w:hAnsiTheme="majorEastAsia" w:eastAsiaTheme="majorEastAsia" w:cstheme="majorEastAsia"/>
          <w:color w:val="auto"/>
          <w:sz w:val="24"/>
          <w:szCs w:val="24"/>
          <w:highlight w:val="none"/>
          <w:lang w:eastAsia="zh-CN"/>
        </w:rPr>
        <w:t>供应商</w:t>
      </w:r>
      <w:r>
        <w:rPr>
          <w:rFonts w:hint="eastAsia" w:asciiTheme="majorEastAsia" w:hAnsiTheme="majorEastAsia" w:eastAsiaTheme="majorEastAsia" w:cstheme="majorEastAsia"/>
          <w:color w:val="auto"/>
          <w:sz w:val="24"/>
          <w:szCs w:val="24"/>
          <w:highlight w:val="none"/>
        </w:rPr>
        <w:t>应在投标截止时间前登录开标大厅。</w:t>
      </w:r>
    </w:p>
    <w:p w14:paraId="7783D415">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color w:val="auto"/>
          <w:sz w:val="24"/>
          <w:szCs w:val="24"/>
          <w:highlight w:val="none"/>
          <w:lang w:eastAsia="zh-CN"/>
        </w:rPr>
        <w:t>供应商</w:t>
      </w:r>
      <w:r>
        <w:rPr>
          <w:rFonts w:hint="eastAsia" w:asciiTheme="majorEastAsia" w:hAnsiTheme="majorEastAsia" w:eastAsiaTheme="majorEastAsia" w:cstheme="majorEastAsia"/>
          <w:color w:val="auto"/>
          <w:sz w:val="24"/>
          <w:szCs w:val="24"/>
          <w:highlight w:val="none"/>
        </w:rPr>
        <w:t>解密投标文件。按照系统内提示，在规定的时间内完成投标文件的解密。</w:t>
      </w:r>
    </w:p>
    <w:p w14:paraId="1A3A3B0C">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（3）唱标。</w:t>
      </w:r>
    </w:p>
    <w:p w14:paraId="31729919">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（4）开标记录确认。</w:t>
      </w:r>
    </w:p>
    <w:p w14:paraId="513F4C0E">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（5）开标结束。</w:t>
      </w:r>
    </w:p>
    <w:p w14:paraId="069D625F">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5.3特殊情况的处置</w:t>
      </w:r>
    </w:p>
    <w:p w14:paraId="53B85119">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5.3.1在投标截止时间后，开标系统出现下列情况之一时，项目未开标的，暂停开标活动；正在开标的，立即暂停开标，待系统恢复正常后再组织开标。</w:t>
      </w:r>
    </w:p>
    <w:p w14:paraId="6C3F95C0">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（1）系统服务器发生故障，无法访问或无法使用系统； </w:t>
      </w:r>
    </w:p>
    <w:p w14:paraId="0D3BF35E">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（2）系统的软件或数据库出现错误，不能进行正常操作； </w:t>
      </w:r>
    </w:p>
    <w:p w14:paraId="17D03A1F">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（3）系统发现有安全漏洞，有潜在的泄密危险； </w:t>
      </w:r>
    </w:p>
    <w:p w14:paraId="5D1C9FE1">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（4）其他无法保证招投标过程公平和信息安全的情形。</w:t>
      </w:r>
    </w:p>
    <w:p w14:paraId="7CF92DBE">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5.3.2因供应商自身原因造成投标文件无法解密的，视为撤销投标文件。</w:t>
      </w:r>
    </w:p>
    <w:p w14:paraId="7CD065C6">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5.3.3供应商对开标过程和开标记录有疑义的，可向招标人或者采购代理机构提出。</w:t>
      </w:r>
    </w:p>
    <w:p w14:paraId="2A63995F">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5.3.4供应商未在开标系统中确认开标结果的，视同认可开标结果。</w:t>
      </w:r>
    </w:p>
    <w:p w14:paraId="0B554789">
      <w:pPr>
        <w:adjustRightInd w:val="0"/>
        <w:snapToGrid w:val="0"/>
        <w:spacing w:line="490" w:lineRule="exact"/>
        <w:outlineLvl w:val="1"/>
        <w:rPr>
          <w:rFonts w:hint="eastAsia" w:asciiTheme="majorEastAsia" w:hAnsiTheme="majorEastAsia" w:eastAsiaTheme="majorEastAsia" w:cstheme="majorEastAsia"/>
          <w:color w:val="auto"/>
          <w:sz w:val="24"/>
          <w:szCs w:val="24"/>
          <w:highlight w:val="none"/>
        </w:rPr>
      </w:pPr>
      <w:bookmarkStart w:id="224" w:name="_Toc29463"/>
      <w:r>
        <w:rPr>
          <w:rFonts w:hint="eastAsia" w:asciiTheme="majorEastAsia" w:hAnsiTheme="majorEastAsia" w:eastAsiaTheme="majorEastAsia" w:cstheme="majorEastAsia"/>
          <w:color w:val="auto"/>
          <w:sz w:val="24"/>
          <w:szCs w:val="24"/>
          <w:highlight w:val="none"/>
        </w:rPr>
        <w:t>6. 评标</w:t>
      </w:r>
      <w:bookmarkEnd w:id="224"/>
    </w:p>
    <w:p w14:paraId="55553500">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6.1 评标委员会</w:t>
      </w:r>
    </w:p>
    <w:p w14:paraId="46DB17D7">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6.1.1评标由招标人依法组建的评标委员会负责。评标委员会由招标人代表，以及有关技术、经济等方面的专家组成。具体人数见供应商须知前附表。</w:t>
      </w:r>
    </w:p>
    <w:p w14:paraId="10D7178D">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6.1.2评标委员会成员有下列情形之一的，应当回避：</w:t>
      </w:r>
    </w:p>
    <w:p w14:paraId="3D4C39D1">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（1）参加采购活动前三年内,与供应商存在劳动关系,或者担任过供应商的董事、监事,或者是供应商的控股股东或实际控制人；</w:t>
      </w:r>
    </w:p>
    <w:p w14:paraId="459A2031">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（2）与供应商的法定代表人或者负责人有夫妻、直系血亲、三代以内旁系血亲或者近姻亲关系；</w:t>
      </w:r>
    </w:p>
    <w:p w14:paraId="466142CA">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（3）与供应商有其他可能影响政府采购活动公平、公正进行的关系；</w:t>
      </w:r>
    </w:p>
    <w:p w14:paraId="69E23BB7">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（4）法律、行政法规规定的其他条件。</w:t>
      </w:r>
    </w:p>
    <w:p w14:paraId="181124DE">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6.2 评标</w:t>
      </w:r>
    </w:p>
    <w:p w14:paraId="6CFE5BF4">
      <w:pPr>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highlight w:val="none"/>
        </w:rPr>
        <w:t>评标活动遵循公正、客观、审慎的原则。</w:t>
      </w:r>
      <w:r>
        <w:rPr>
          <w:rFonts w:hint="eastAsia" w:asciiTheme="majorEastAsia" w:hAnsiTheme="majorEastAsia" w:eastAsiaTheme="majorEastAsia" w:cstheme="majorEastAsia"/>
          <w:color w:val="auto"/>
          <w:sz w:val="24"/>
          <w:szCs w:val="24"/>
          <w:highlight w:val="none"/>
        </w:rPr>
        <w:t>评标委员会严格按照第三章“评标办法”规定的评标方法、评标程序和评标标准进行独立评审。第三章“评标办法”没有规定的评标标准，不得作为评标依据。</w:t>
      </w:r>
    </w:p>
    <w:p w14:paraId="5CAC1C3E">
      <w:pPr>
        <w:adjustRightInd w:val="0"/>
        <w:snapToGrid w:val="0"/>
        <w:spacing w:line="490" w:lineRule="exact"/>
        <w:outlineLvl w:val="1"/>
        <w:rPr>
          <w:rFonts w:hint="eastAsia" w:asciiTheme="majorEastAsia" w:hAnsiTheme="majorEastAsia" w:eastAsiaTheme="majorEastAsia" w:cstheme="majorEastAsia"/>
          <w:color w:val="auto"/>
          <w:sz w:val="24"/>
          <w:szCs w:val="24"/>
          <w:highlight w:val="none"/>
        </w:rPr>
      </w:pPr>
      <w:bookmarkStart w:id="225" w:name="_Toc28529"/>
      <w:r>
        <w:rPr>
          <w:rFonts w:hint="eastAsia" w:asciiTheme="majorEastAsia" w:hAnsiTheme="majorEastAsia" w:eastAsiaTheme="majorEastAsia" w:cstheme="majorEastAsia"/>
          <w:color w:val="auto"/>
          <w:sz w:val="24"/>
          <w:szCs w:val="24"/>
          <w:highlight w:val="none"/>
        </w:rPr>
        <w:t>7.中标</w:t>
      </w:r>
      <w:bookmarkEnd w:id="225"/>
    </w:p>
    <w:p w14:paraId="2A2BC05E">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7.1确定中标人</w:t>
      </w:r>
    </w:p>
    <w:p w14:paraId="0A73F786">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7.1.1自收到评标报告之日起５个工作日内，在评标报告确定的中标候选人名单中按顺序确定中标人。</w:t>
      </w:r>
    </w:p>
    <w:p w14:paraId="5A7C01FF">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7.1.2排名第一的中标候选人出现下列情形之一的，除合格供应商的数量不符合法定的要求外，招标人将按照评标委员会提出的中标候选人名单排序依次确定其他中标候选人为中标人。</w:t>
      </w:r>
    </w:p>
    <w:p w14:paraId="1DEE35F9">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（1）因不可抗力或者自身原因不能履行合同的；</w:t>
      </w:r>
    </w:p>
    <w:p w14:paraId="43FE8B75">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（2）经过财政部门处理投诉举报、监督检查，认定中标无效的；</w:t>
      </w:r>
    </w:p>
    <w:p w14:paraId="19253D5E">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（3）拒绝与招标人签订合同的。</w:t>
      </w:r>
    </w:p>
    <w:p w14:paraId="200898A2">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7.2中标公告及中标通知书</w:t>
      </w:r>
    </w:p>
    <w:p w14:paraId="5356D848">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7.2.1自中标人确定之日起2个工作日内，在供应商须知前附表规定的媒介上公告中标结果，公告期限为1个工作日。</w:t>
      </w:r>
    </w:p>
    <w:p w14:paraId="43624302">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7.2.2在公告中标结果的同时，向中标人发出中标通知书。中标通知书对招标人和中标人具有同等法律效力。  </w:t>
      </w:r>
    </w:p>
    <w:p w14:paraId="0572B861">
      <w:pPr>
        <w:adjustRightInd w:val="0"/>
        <w:snapToGrid w:val="0"/>
        <w:spacing w:line="490" w:lineRule="exact"/>
        <w:outlineLvl w:val="1"/>
        <w:rPr>
          <w:rFonts w:hint="eastAsia" w:asciiTheme="majorEastAsia" w:hAnsiTheme="majorEastAsia" w:eastAsiaTheme="majorEastAsia" w:cstheme="majorEastAsia"/>
          <w:color w:val="auto"/>
          <w:sz w:val="24"/>
          <w:szCs w:val="24"/>
          <w:highlight w:val="none"/>
        </w:rPr>
      </w:pPr>
      <w:bookmarkStart w:id="226" w:name="_Toc23349"/>
      <w:r>
        <w:rPr>
          <w:rFonts w:hint="eastAsia" w:asciiTheme="majorEastAsia" w:hAnsiTheme="majorEastAsia" w:eastAsiaTheme="majorEastAsia" w:cstheme="majorEastAsia"/>
          <w:color w:val="auto"/>
          <w:sz w:val="24"/>
          <w:szCs w:val="24"/>
          <w:highlight w:val="none"/>
        </w:rPr>
        <w:t>8.合同</w:t>
      </w:r>
      <w:bookmarkEnd w:id="226"/>
    </w:p>
    <w:p w14:paraId="5F96F356">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8.1 履约保证金</w:t>
      </w:r>
    </w:p>
    <w:p w14:paraId="59A75CA5">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8.1.1中标人应按供应商须知前附表规定的履约保证金的形式、金额和提交时间向招标人提交履约保证金。</w:t>
      </w:r>
    </w:p>
    <w:p w14:paraId="6E67A8C3">
      <w:pPr>
        <w:adjustRightInd w:val="0"/>
        <w:snapToGrid w:val="0"/>
        <w:spacing w:line="490" w:lineRule="exact"/>
        <w:ind w:firstLine="480"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8.1.2中标人不能按本招标文件要求提交履约保证金的，视为放弃中标，给招标人造成损失的，中标人还应当予以赔偿。</w:t>
      </w:r>
    </w:p>
    <w:p w14:paraId="4501C7B0">
      <w:pPr>
        <w:adjustRightInd w:val="0"/>
        <w:snapToGrid w:val="0"/>
        <w:spacing w:line="49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8.2签订合同</w:t>
      </w:r>
    </w:p>
    <w:p w14:paraId="148FA498">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招标人和中标人在供应商须知前附表规定的时间内，根据招标文件和中标人的投标文件订立书面合同。中标人无正当理由拒签合同的，招标人取消其中标资格；给招标人造成损失的，中标人还应当对予以赔偿。</w:t>
      </w:r>
    </w:p>
    <w:p w14:paraId="560C1730">
      <w:pPr>
        <w:adjustRightInd w:val="0"/>
        <w:snapToGrid w:val="0"/>
        <w:spacing w:line="490" w:lineRule="exact"/>
        <w:outlineLvl w:val="1"/>
        <w:rPr>
          <w:rFonts w:hint="eastAsia" w:asciiTheme="majorEastAsia" w:hAnsiTheme="majorEastAsia" w:eastAsiaTheme="majorEastAsia" w:cstheme="majorEastAsia"/>
          <w:color w:val="auto"/>
          <w:sz w:val="24"/>
          <w:szCs w:val="24"/>
          <w:highlight w:val="none"/>
        </w:rPr>
      </w:pPr>
      <w:bookmarkStart w:id="227" w:name="_Toc19745"/>
      <w:r>
        <w:rPr>
          <w:rFonts w:hint="eastAsia" w:asciiTheme="majorEastAsia" w:hAnsiTheme="majorEastAsia" w:eastAsiaTheme="majorEastAsia" w:cstheme="majorEastAsia"/>
          <w:color w:val="auto"/>
          <w:sz w:val="24"/>
          <w:szCs w:val="24"/>
          <w:highlight w:val="none"/>
        </w:rPr>
        <w:t>9. 需要补充的其他内容</w:t>
      </w:r>
      <w:bookmarkEnd w:id="227"/>
    </w:p>
    <w:p w14:paraId="0B1B249F">
      <w:pPr>
        <w:spacing w:line="490" w:lineRule="exact"/>
        <w:ind w:firstLine="480"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highlight w:val="none"/>
        </w:rPr>
        <w:t>需要补充的其他内容：见供应商须知前附表。</w:t>
      </w:r>
      <w:bookmarkStart w:id="228" w:name="_Hlt24879081"/>
      <w:bookmarkEnd w:id="228"/>
      <w:bookmarkStart w:id="229" w:name="_Hlt26671372"/>
      <w:bookmarkEnd w:id="229"/>
      <w:bookmarkStart w:id="230" w:name="_Hlt26955064"/>
      <w:bookmarkEnd w:id="230"/>
      <w:bookmarkStart w:id="231" w:name="_Hlt26609391"/>
      <w:bookmarkEnd w:id="231"/>
      <w:bookmarkStart w:id="232" w:name="_Hlt26671343"/>
      <w:bookmarkEnd w:id="232"/>
      <w:bookmarkStart w:id="233" w:name="_Hlt26580838"/>
      <w:bookmarkEnd w:id="233"/>
      <w:bookmarkStart w:id="234" w:name="_Hlt26955056"/>
      <w:bookmarkEnd w:id="234"/>
      <w:bookmarkStart w:id="235" w:name="_Hlt26782999"/>
      <w:bookmarkEnd w:id="235"/>
    </w:p>
    <w:p w14:paraId="2E3B8F30">
      <w:pPr>
        <w:widowControl/>
        <w:jc w:val="left"/>
        <w:rPr>
          <w:rFonts w:hint="eastAsia" w:asciiTheme="majorEastAsia" w:hAnsiTheme="majorEastAsia" w:eastAsiaTheme="majorEastAsia" w:cstheme="majorEastAsia"/>
          <w:color w:val="auto"/>
          <w:highlight w:val="none"/>
        </w:rPr>
      </w:pPr>
    </w:p>
    <w:p w14:paraId="67886E93">
      <w:pPr>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p>
    <w:p w14:paraId="31BF4B0F">
      <w:pPr>
        <w:pStyle w:val="38"/>
        <w:spacing w:line="360" w:lineRule="exact"/>
        <w:ind w:left="-2" w:leftChars="-1" w:firstLine="643" w:firstLineChars="200"/>
        <w:jc w:val="center"/>
        <w:outlineLvl w:val="0"/>
        <w:rPr>
          <w:rFonts w:hint="eastAsia" w:asciiTheme="majorEastAsia" w:hAnsiTheme="majorEastAsia" w:eastAsiaTheme="majorEastAsia" w:cstheme="majorEastAsia"/>
          <w:b/>
          <w:color w:val="auto"/>
          <w:sz w:val="32"/>
          <w:szCs w:val="32"/>
          <w:highlight w:val="none"/>
        </w:rPr>
      </w:pPr>
      <w:bookmarkStart w:id="236" w:name="_Toc4258"/>
      <w:r>
        <w:rPr>
          <w:rFonts w:hint="eastAsia" w:asciiTheme="majorEastAsia" w:hAnsiTheme="majorEastAsia" w:eastAsiaTheme="majorEastAsia" w:cstheme="majorEastAsia"/>
          <w:b/>
          <w:color w:val="auto"/>
          <w:sz w:val="32"/>
          <w:szCs w:val="32"/>
          <w:highlight w:val="none"/>
        </w:rPr>
        <w:t>第三章 资格审查及评标办法</w:t>
      </w:r>
      <w:bookmarkEnd w:id="236"/>
    </w:p>
    <w:p w14:paraId="347C4BCE">
      <w:pPr>
        <w:rPr>
          <w:rFonts w:hint="eastAsia" w:asciiTheme="majorEastAsia" w:hAnsiTheme="majorEastAsia" w:eastAsiaTheme="majorEastAsia" w:cstheme="majorEastAsia"/>
          <w:color w:val="auto"/>
          <w:sz w:val="28"/>
          <w:szCs w:val="28"/>
          <w:highlight w:val="none"/>
        </w:rPr>
      </w:pPr>
      <w:bookmarkStart w:id="237" w:name="_Toc247085746"/>
      <w:bookmarkStart w:id="238" w:name="_Toc343525563"/>
      <w:bookmarkStart w:id="239" w:name="_Toc426469920"/>
      <w:bookmarkStart w:id="240" w:name="_Toc144974555"/>
      <w:bookmarkStart w:id="241" w:name="_Toc152045588"/>
      <w:bookmarkStart w:id="242" w:name="_Toc152042365"/>
      <w:bookmarkStart w:id="243" w:name="_Toc383438647"/>
      <w:bookmarkStart w:id="244" w:name="_Toc179632606"/>
      <w:bookmarkStart w:id="245" w:name="_Toc246996974"/>
      <w:bookmarkStart w:id="246" w:name="_Toc246996231"/>
      <w:r>
        <w:rPr>
          <w:rFonts w:hint="eastAsia" w:asciiTheme="majorEastAsia" w:hAnsiTheme="majorEastAsia" w:eastAsiaTheme="majorEastAsia" w:cstheme="majorEastAsia"/>
          <w:color w:val="auto"/>
          <w:sz w:val="28"/>
          <w:szCs w:val="28"/>
          <w:highlight w:val="none"/>
        </w:rPr>
        <w:t>资格审查和评标办法前附表</w:t>
      </w:r>
      <w:bookmarkEnd w:id="237"/>
      <w:bookmarkEnd w:id="238"/>
      <w:bookmarkEnd w:id="239"/>
      <w:bookmarkEnd w:id="240"/>
      <w:bookmarkEnd w:id="241"/>
      <w:bookmarkEnd w:id="242"/>
      <w:bookmarkEnd w:id="243"/>
      <w:bookmarkEnd w:id="244"/>
      <w:bookmarkEnd w:id="245"/>
      <w:bookmarkEnd w:id="246"/>
      <w:bookmarkStart w:id="247" w:name="_Toc179632607"/>
      <w:bookmarkStart w:id="248" w:name="_Toc247085747"/>
      <w:bookmarkStart w:id="249" w:name="_Toc343525564"/>
      <w:bookmarkStart w:id="250" w:name="_Toc246996975"/>
      <w:bookmarkStart w:id="251" w:name="_Toc144974556"/>
      <w:bookmarkStart w:id="252" w:name="_Toc246996232"/>
      <w:bookmarkStart w:id="253" w:name="_Toc152042366"/>
      <w:bookmarkStart w:id="254" w:name="_Toc152045589"/>
    </w:p>
    <w:tbl>
      <w:tblPr>
        <w:tblStyle w:val="26"/>
        <w:tblW w:w="8709"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546"/>
        <w:gridCol w:w="666"/>
        <w:gridCol w:w="2533"/>
        <w:gridCol w:w="4964"/>
      </w:tblGrid>
      <w:tr w14:paraId="7711A63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84" w:hRule="atLeast"/>
          <w:jc w:val="center"/>
        </w:trPr>
        <w:tc>
          <w:tcPr>
            <w:tcW w:w="1212" w:type="dxa"/>
            <w:gridSpan w:val="2"/>
            <w:tcBorders>
              <w:top w:val="outset" w:color="auto" w:sz="6" w:space="0"/>
              <w:left w:val="outset" w:color="auto" w:sz="6" w:space="0"/>
              <w:bottom w:val="outset" w:color="auto" w:sz="6" w:space="0"/>
              <w:right w:val="outset" w:color="auto" w:sz="6" w:space="0"/>
            </w:tcBorders>
            <w:vAlign w:val="center"/>
          </w:tcPr>
          <w:p w14:paraId="69F3A461">
            <w:pPr>
              <w:spacing w:line="40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条款号</w:t>
            </w:r>
          </w:p>
        </w:tc>
        <w:tc>
          <w:tcPr>
            <w:tcW w:w="2533" w:type="dxa"/>
            <w:tcBorders>
              <w:top w:val="outset" w:color="auto" w:sz="6" w:space="0"/>
              <w:left w:val="outset" w:color="auto" w:sz="6" w:space="0"/>
              <w:bottom w:val="outset" w:color="auto" w:sz="6" w:space="0"/>
              <w:right w:val="outset" w:color="auto" w:sz="6" w:space="0"/>
            </w:tcBorders>
            <w:vAlign w:val="center"/>
          </w:tcPr>
          <w:p w14:paraId="02F726F2">
            <w:pPr>
              <w:spacing w:line="40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评审因素</w:t>
            </w:r>
          </w:p>
        </w:tc>
        <w:tc>
          <w:tcPr>
            <w:tcW w:w="4964" w:type="dxa"/>
            <w:tcBorders>
              <w:top w:val="outset" w:color="auto" w:sz="6" w:space="0"/>
              <w:left w:val="outset" w:color="auto" w:sz="6" w:space="0"/>
              <w:bottom w:val="outset" w:color="auto" w:sz="6" w:space="0"/>
              <w:right w:val="outset" w:color="auto" w:sz="6" w:space="0"/>
            </w:tcBorders>
            <w:vAlign w:val="center"/>
          </w:tcPr>
          <w:p w14:paraId="0F9AA788">
            <w:pPr>
              <w:spacing w:line="40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评审标准</w:t>
            </w:r>
          </w:p>
        </w:tc>
      </w:tr>
      <w:tr w14:paraId="65DD47D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46" w:type="dxa"/>
            <w:vMerge w:val="restart"/>
            <w:tcBorders>
              <w:top w:val="outset" w:color="auto" w:sz="6" w:space="0"/>
              <w:left w:val="outset" w:color="auto" w:sz="6" w:space="0"/>
              <w:right w:val="outset" w:color="auto" w:sz="6" w:space="0"/>
            </w:tcBorders>
            <w:vAlign w:val="center"/>
          </w:tcPr>
          <w:p w14:paraId="3D260B98">
            <w:pPr>
              <w:spacing w:line="360" w:lineRule="exact"/>
              <w:jc w:val="center"/>
              <w:rPr>
                <w:rFonts w:hint="eastAsia" w:asciiTheme="majorEastAsia" w:hAnsiTheme="majorEastAsia" w:eastAsiaTheme="majorEastAsia" w:cstheme="majorEastAsia"/>
                <w:color w:val="auto"/>
                <w:spacing w:val="-40"/>
                <w:highlight w:val="none"/>
              </w:rPr>
            </w:pPr>
            <w:r>
              <w:rPr>
                <w:rFonts w:hint="eastAsia" w:asciiTheme="majorEastAsia" w:hAnsiTheme="majorEastAsia" w:eastAsiaTheme="majorEastAsia" w:cstheme="majorEastAsia"/>
                <w:color w:val="auto"/>
                <w:spacing w:val="-14"/>
                <w:highlight w:val="none"/>
              </w:rPr>
              <w:t>1.2</w:t>
            </w:r>
          </w:p>
        </w:tc>
        <w:tc>
          <w:tcPr>
            <w:tcW w:w="666" w:type="dxa"/>
            <w:vMerge w:val="restart"/>
            <w:tcBorders>
              <w:top w:val="outset" w:color="auto" w:sz="6" w:space="0"/>
              <w:left w:val="outset" w:color="auto" w:sz="6" w:space="0"/>
              <w:right w:val="outset" w:color="auto" w:sz="6" w:space="0"/>
            </w:tcBorders>
            <w:vAlign w:val="center"/>
          </w:tcPr>
          <w:p w14:paraId="4E34963B">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资格审查</w:t>
            </w:r>
          </w:p>
        </w:tc>
        <w:tc>
          <w:tcPr>
            <w:tcW w:w="2533" w:type="dxa"/>
            <w:tcBorders>
              <w:top w:val="outset" w:color="auto" w:sz="6" w:space="0"/>
              <w:left w:val="outset" w:color="auto" w:sz="6" w:space="0"/>
              <w:bottom w:val="outset" w:color="auto" w:sz="6" w:space="0"/>
              <w:right w:val="outset" w:color="auto" w:sz="6" w:space="0"/>
            </w:tcBorders>
            <w:vAlign w:val="center"/>
          </w:tcPr>
          <w:p w14:paraId="5EABAAAB">
            <w:pPr>
              <w:spacing w:line="3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基本资格条件的承诺</w:t>
            </w:r>
          </w:p>
        </w:tc>
        <w:tc>
          <w:tcPr>
            <w:tcW w:w="4964" w:type="dxa"/>
            <w:tcBorders>
              <w:top w:val="outset" w:color="auto" w:sz="6" w:space="0"/>
              <w:left w:val="outset" w:color="auto" w:sz="6" w:space="0"/>
              <w:bottom w:val="outset" w:color="auto" w:sz="6" w:space="0"/>
              <w:right w:val="outset" w:color="auto" w:sz="6" w:space="0"/>
            </w:tcBorders>
            <w:vAlign w:val="center"/>
          </w:tcPr>
          <w:p w14:paraId="0061A1E1">
            <w:pPr>
              <w:spacing w:line="3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根据供应商提供的承诺函，内容完整且具有法人及法定代表人的印章。（内容及格式参照第六章）</w:t>
            </w:r>
          </w:p>
        </w:tc>
      </w:tr>
      <w:tr w14:paraId="58E711D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546" w:type="dxa"/>
            <w:vMerge w:val="continue"/>
            <w:tcBorders>
              <w:left w:val="outset" w:color="auto" w:sz="6" w:space="0"/>
              <w:right w:val="outset" w:color="auto" w:sz="6" w:space="0"/>
            </w:tcBorders>
            <w:vAlign w:val="center"/>
          </w:tcPr>
          <w:p w14:paraId="73C88CE8">
            <w:pPr>
              <w:jc w:val="center"/>
              <w:rPr>
                <w:rFonts w:hint="eastAsia" w:asciiTheme="majorEastAsia" w:hAnsiTheme="majorEastAsia" w:eastAsiaTheme="majorEastAsia" w:cstheme="majorEastAsia"/>
                <w:color w:val="auto"/>
                <w:highlight w:val="none"/>
              </w:rPr>
            </w:pPr>
          </w:p>
        </w:tc>
        <w:tc>
          <w:tcPr>
            <w:tcW w:w="666" w:type="dxa"/>
            <w:vMerge w:val="continue"/>
            <w:tcBorders>
              <w:left w:val="outset" w:color="auto" w:sz="6" w:space="0"/>
              <w:right w:val="outset" w:color="auto" w:sz="6" w:space="0"/>
            </w:tcBorders>
            <w:vAlign w:val="center"/>
          </w:tcPr>
          <w:p w14:paraId="4FD6B489">
            <w:pPr>
              <w:jc w:val="left"/>
              <w:rPr>
                <w:rFonts w:hint="eastAsia" w:asciiTheme="majorEastAsia" w:hAnsiTheme="majorEastAsia" w:eastAsiaTheme="majorEastAsia" w:cstheme="majorEastAsia"/>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18E298C3">
            <w:pPr>
              <w:spacing w:line="3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落实政府采购政策需满足的资格要求</w:t>
            </w:r>
          </w:p>
        </w:tc>
        <w:tc>
          <w:tcPr>
            <w:tcW w:w="4964" w:type="dxa"/>
            <w:tcBorders>
              <w:top w:val="outset" w:color="auto" w:sz="6" w:space="0"/>
              <w:left w:val="outset" w:color="auto" w:sz="6" w:space="0"/>
              <w:bottom w:val="outset" w:color="auto" w:sz="6" w:space="0"/>
              <w:right w:val="outset" w:color="auto" w:sz="6" w:space="0"/>
            </w:tcBorders>
            <w:vAlign w:val="center"/>
          </w:tcPr>
          <w:p w14:paraId="4EADC1DB">
            <w:pPr>
              <w:spacing w:line="3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本项目为</w:t>
            </w:r>
            <w:r>
              <w:rPr>
                <w:rFonts w:hint="eastAsia" w:asciiTheme="majorEastAsia" w:hAnsiTheme="majorEastAsia" w:eastAsiaTheme="majorEastAsia" w:cstheme="majorEastAsia"/>
                <w:color w:val="auto"/>
                <w:highlight w:val="none"/>
                <w:lang w:eastAsia="zh-CN"/>
              </w:rPr>
              <w:t>专门面向</w:t>
            </w:r>
            <w:r>
              <w:rPr>
                <w:rFonts w:hint="eastAsia" w:asciiTheme="majorEastAsia" w:hAnsiTheme="majorEastAsia" w:eastAsiaTheme="majorEastAsia" w:cstheme="majorEastAsia"/>
                <w:color w:val="auto"/>
                <w:highlight w:val="none"/>
              </w:rPr>
              <w:t>中小企业的项目。</w:t>
            </w:r>
          </w:p>
        </w:tc>
      </w:tr>
      <w:tr w14:paraId="5FAB0EE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546" w:type="dxa"/>
            <w:vMerge w:val="continue"/>
            <w:tcBorders>
              <w:left w:val="outset" w:color="auto" w:sz="6" w:space="0"/>
              <w:right w:val="outset" w:color="auto" w:sz="6" w:space="0"/>
            </w:tcBorders>
            <w:vAlign w:val="center"/>
          </w:tcPr>
          <w:p w14:paraId="718BF18B">
            <w:pPr>
              <w:jc w:val="center"/>
              <w:rPr>
                <w:rFonts w:hint="eastAsia" w:asciiTheme="majorEastAsia" w:hAnsiTheme="majorEastAsia" w:eastAsiaTheme="majorEastAsia" w:cstheme="majorEastAsia"/>
                <w:color w:val="auto"/>
                <w:highlight w:val="none"/>
              </w:rPr>
            </w:pPr>
          </w:p>
        </w:tc>
        <w:tc>
          <w:tcPr>
            <w:tcW w:w="666" w:type="dxa"/>
            <w:vMerge w:val="continue"/>
            <w:tcBorders>
              <w:left w:val="outset" w:color="auto" w:sz="6" w:space="0"/>
              <w:right w:val="outset" w:color="auto" w:sz="6" w:space="0"/>
            </w:tcBorders>
            <w:vAlign w:val="center"/>
          </w:tcPr>
          <w:p w14:paraId="65D4597E">
            <w:pPr>
              <w:jc w:val="left"/>
              <w:rPr>
                <w:rFonts w:hint="eastAsia" w:asciiTheme="majorEastAsia" w:hAnsiTheme="majorEastAsia" w:eastAsiaTheme="majorEastAsia" w:cstheme="majorEastAsia"/>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167B3D67">
            <w:pPr>
              <w:spacing w:line="3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招标人根据本项目特点，要求供应商具备的条件</w:t>
            </w:r>
          </w:p>
        </w:tc>
        <w:tc>
          <w:tcPr>
            <w:tcW w:w="4964" w:type="dxa"/>
            <w:tcBorders>
              <w:top w:val="outset" w:color="auto" w:sz="6" w:space="0"/>
              <w:left w:val="outset" w:color="auto" w:sz="6" w:space="0"/>
              <w:bottom w:val="outset" w:color="auto" w:sz="6" w:space="0"/>
              <w:right w:val="outset" w:color="auto" w:sz="6" w:space="0"/>
            </w:tcBorders>
            <w:vAlign w:val="center"/>
          </w:tcPr>
          <w:p w14:paraId="51806E3C">
            <w:pPr>
              <w:spacing w:line="3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无</w:t>
            </w:r>
          </w:p>
        </w:tc>
      </w:tr>
      <w:tr w14:paraId="4C2E887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14:paraId="61A4C9C8">
            <w:pPr>
              <w:spacing w:line="460" w:lineRule="exact"/>
              <w:jc w:val="center"/>
              <w:rPr>
                <w:rFonts w:hint="eastAsia" w:asciiTheme="majorEastAsia" w:hAnsiTheme="majorEastAsia" w:eastAsiaTheme="majorEastAsia" w:cstheme="majorEastAsia"/>
                <w:b/>
                <w:color w:val="auto"/>
                <w:spacing w:val="-14"/>
                <w:highlight w:val="none"/>
              </w:rPr>
            </w:pPr>
            <w:r>
              <w:rPr>
                <w:rFonts w:hint="eastAsia" w:asciiTheme="majorEastAsia" w:hAnsiTheme="majorEastAsia" w:eastAsiaTheme="majorEastAsia" w:cstheme="majorEastAsia"/>
                <w:b/>
                <w:color w:val="auto"/>
                <w:spacing w:val="-14"/>
                <w:highlight w:val="none"/>
              </w:rPr>
              <w:t>1.2项评审内容由采购人负责，投标文件不符合1.2项评审标准的，作无效标处理。</w:t>
            </w:r>
          </w:p>
        </w:tc>
      </w:tr>
      <w:tr w14:paraId="378C895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restart"/>
            <w:tcBorders>
              <w:top w:val="outset" w:color="auto" w:sz="6" w:space="0"/>
              <w:left w:val="outset" w:color="auto" w:sz="6" w:space="0"/>
              <w:bottom w:val="outset" w:color="auto" w:sz="6" w:space="0"/>
              <w:right w:val="outset" w:color="auto" w:sz="6" w:space="0"/>
            </w:tcBorders>
            <w:vAlign w:val="center"/>
          </w:tcPr>
          <w:p w14:paraId="2BDAD9F9">
            <w:pPr>
              <w:spacing w:line="360" w:lineRule="exac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pacing w:val="-14"/>
                <w:highlight w:val="none"/>
              </w:rPr>
              <w:t>2.2.2</w:t>
            </w:r>
          </w:p>
        </w:tc>
        <w:tc>
          <w:tcPr>
            <w:tcW w:w="666" w:type="dxa"/>
            <w:vMerge w:val="restart"/>
            <w:tcBorders>
              <w:top w:val="outset" w:color="auto" w:sz="6" w:space="0"/>
              <w:left w:val="outset" w:color="auto" w:sz="6" w:space="0"/>
              <w:bottom w:val="outset" w:color="auto" w:sz="6" w:space="0"/>
              <w:right w:val="outset" w:color="auto" w:sz="6" w:space="0"/>
            </w:tcBorders>
            <w:vAlign w:val="center"/>
          </w:tcPr>
          <w:p w14:paraId="393B4C70">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符</w:t>
            </w:r>
          </w:p>
          <w:p w14:paraId="2D5F55C2">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合</w:t>
            </w:r>
          </w:p>
          <w:p w14:paraId="5A3FF9F1">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性</w:t>
            </w:r>
          </w:p>
          <w:p w14:paraId="69596792">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w:t>
            </w:r>
          </w:p>
          <w:p w14:paraId="1B5E591A">
            <w:pPr>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审</w:t>
            </w:r>
          </w:p>
        </w:tc>
        <w:tc>
          <w:tcPr>
            <w:tcW w:w="2533" w:type="dxa"/>
            <w:tcBorders>
              <w:top w:val="outset" w:color="auto" w:sz="6" w:space="0"/>
              <w:left w:val="outset" w:color="auto" w:sz="6" w:space="0"/>
              <w:bottom w:val="outset" w:color="auto" w:sz="6" w:space="0"/>
              <w:right w:val="outset" w:color="auto" w:sz="6" w:space="0"/>
            </w:tcBorders>
            <w:vAlign w:val="center"/>
          </w:tcPr>
          <w:p w14:paraId="41AB71E8">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投标文件的签署</w:t>
            </w:r>
          </w:p>
        </w:tc>
        <w:tc>
          <w:tcPr>
            <w:tcW w:w="4964" w:type="dxa"/>
            <w:tcBorders>
              <w:top w:val="outset" w:color="auto" w:sz="6" w:space="0"/>
              <w:left w:val="outset" w:color="auto" w:sz="6" w:space="0"/>
              <w:bottom w:val="outset" w:color="auto" w:sz="6" w:space="0"/>
              <w:right w:val="outset" w:color="auto" w:sz="6" w:space="0"/>
            </w:tcBorders>
            <w:vAlign w:val="center"/>
          </w:tcPr>
          <w:p w14:paraId="7AB1CE8F">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符合第二章第3.4.4项规定</w:t>
            </w:r>
          </w:p>
        </w:tc>
      </w:tr>
      <w:tr w14:paraId="2B93C63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49BC531C">
            <w:pPr>
              <w:jc w:val="center"/>
              <w:rPr>
                <w:rFonts w:hint="eastAsia" w:asciiTheme="majorEastAsia" w:hAnsiTheme="majorEastAsia" w:eastAsiaTheme="majorEastAsia" w:cstheme="majorEastAsia"/>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77D2CE27">
            <w:pPr>
              <w:jc w:val="left"/>
              <w:rPr>
                <w:rFonts w:hint="eastAsia" w:asciiTheme="majorEastAsia" w:hAnsiTheme="majorEastAsia" w:eastAsiaTheme="majorEastAsia" w:cstheme="majorEastAsia"/>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1874C8C0">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报价</w:t>
            </w:r>
          </w:p>
        </w:tc>
        <w:tc>
          <w:tcPr>
            <w:tcW w:w="4964" w:type="dxa"/>
            <w:tcBorders>
              <w:top w:val="outset" w:color="auto" w:sz="6" w:space="0"/>
              <w:left w:val="outset" w:color="auto" w:sz="6" w:space="0"/>
              <w:bottom w:val="outset" w:color="auto" w:sz="6" w:space="0"/>
              <w:right w:val="outset" w:color="auto" w:sz="6" w:space="0"/>
            </w:tcBorders>
            <w:vAlign w:val="center"/>
          </w:tcPr>
          <w:p w14:paraId="13D72629">
            <w:pPr>
              <w:spacing w:line="3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有且只有一个有效报价；未超过采购预算或最高限价；</w:t>
            </w:r>
          </w:p>
        </w:tc>
      </w:tr>
      <w:tr w14:paraId="653253D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041C112A">
            <w:pPr>
              <w:jc w:val="center"/>
              <w:rPr>
                <w:rFonts w:hint="eastAsia" w:asciiTheme="majorEastAsia" w:hAnsiTheme="majorEastAsia" w:eastAsiaTheme="majorEastAsia" w:cstheme="majorEastAsia"/>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5F2E81D3">
            <w:pPr>
              <w:jc w:val="left"/>
              <w:rPr>
                <w:rFonts w:hint="eastAsia" w:asciiTheme="majorEastAsia" w:hAnsiTheme="majorEastAsia" w:eastAsiaTheme="majorEastAsia" w:cstheme="majorEastAsia"/>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0A6344E7">
            <w:pPr>
              <w:spacing w:line="380" w:lineRule="exact"/>
              <w:jc w:val="left"/>
              <w:rPr>
                <w:rFonts w:hint="default" w:asciiTheme="majorEastAsia" w:hAnsiTheme="majorEastAsia" w:eastAsiaTheme="majorEastAsia" w:cstheme="majorEastAsia"/>
                <w:color w:val="auto"/>
                <w:highlight w:val="none"/>
                <w:lang w:val="en-US"/>
              </w:rPr>
            </w:pPr>
            <w:r>
              <w:rPr>
                <w:rFonts w:hint="eastAsia" w:asciiTheme="majorEastAsia" w:hAnsiTheme="majorEastAsia" w:eastAsiaTheme="majorEastAsia" w:cstheme="majorEastAsia"/>
                <w:color w:val="auto"/>
                <w:highlight w:val="none"/>
                <w:lang w:val="en-US" w:eastAsia="zh-CN"/>
              </w:rPr>
              <w:t>服务期限</w:t>
            </w:r>
          </w:p>
        </w:tc>
        <w:tc>
          <w:tcPr>
            <w:tcW w:w="4964" w:type="dxa"/>
            <w:tcBorders>
              <w:top w:val="outset" w:color="auto" w:sz="6" w:space="0"/>
              <w:left w:val="outset" w:color="auto" w:sz="6" w:space="0"/>
              <w:bottom w:val="outset" w:color="auto" w:sz="6" w:space="0"/>
              <w:right w:val="outset" w:color="auto" w:sz="6" w:space="0"/>
            </w:tcBorders>
            <w:vAlign w:val="center"/>
          </w:tcPr>
          <w:p w14:paraId="4D487319">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符合第二章第1.3.2项规定</w:t>
            </w:r>
          </w:p>
        </w:tc>
      </w:tr>
      <w:tr w14:paraId="0FB7CF7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6DEE93BF">
            <w:pPr>
              <w:jc w:val="center"/>
              <w:rPr>
                <w:rFonts w:hint="eastAsia" w:asciiTheme="majorEastAsia" w:hAnsiTheme="majorEastAsia" w:eastAsiaTheme="majorEastAsia" w:cstheme="majorEastAsia"/>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07989D47">
            <w:pPr>
              <w:jc w:val="left"/>
              <w:rPr>
                <w:rFonts w:hint="eastAsia" w:asciiTheme="majorEastAsia" w:hAnsiTheme="majorEastAsia" w:eastAsiaTheme="majorEastAsia" w:cstheme="majorEastAsia"/>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03BAB537">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投标有效期</w:t>
            </w:r>
          </w:p>
        </w:tc>
        <w:tc>
          <w:tcPr>
            <w:tcW w:w="4964" w:type="dxa"/>
            <w:tcBorders>
              <w:top w:val="outset" w:color="auto" w:sz="6" w:space="0"/>
              <w:left w:val="outset" w:color="auto" w:sz="6" w:space="0"/>
              <w:bottom w:val="outset" w:color="auto" w:sz="6" w:space="0"/>
              <w:right w:val="outset" w:color="auto" w:sz="6" w:space="0"/>
            </w:tcBorders>
            <w:vAlign w:val="center"/>
          </w:tcPr>
          <w:p w14:paraId="301B56B0">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符合第二章第3.3.1项规定</w:t>
            </w:r>
          </w:p>
        </w:tc>
      </w:tr>
      <w:tr w14:paraId="75BEA6C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5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14:paraId="69BD42A9">
            <w:pPr>
              <w:jc w:val="left"/>
              <w:rPr>
                <w:rFonts w:hint="eastAsia" w:asciiTheme="majorEastAsia" w:hAnsiTheme="majorEastAsia" w:eastAsiaTheme="majorEastAsia" w:cstheme="majorEastAsia"/>
                <w:color w:val="auto"/>
                <w:highlight w:val="none"/>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14:paraId="246D5BFC">
            <w:pPr>
              <w:jc w:val="left"/>
              <w:rPr>
                <w:rFonts w:hint="eastAsia" w:asciiTheme="majorEastAsia" w:hAnsiTheme="majorEastAsia" w:eastAsiaTheme="majorEastAsia" w:cstheme="majorEastAsia"/>
                <w:color w:val="auto"/>
                <w:highlight w:val="none"/>
              </w:rPr>
            </w:pPr>
          </w:p>
        </w:tc>
        <w:tc>
          <w:tcPr>
            <w:tcW w:w="2533" w:type="dxa"/>
            <w:tcBorders>
              <w:top w:val="outset" w:color="auto" w:sz="6" w:space="0"/>
              <w:left w:val="outset" w:color="auto" w:sz="6" w:space="0"/>
              <w:bottom w:val="outset" w:color="auto" w:sz="6" w:space="0"/>
              <w:right w:val="outset" w:color="auto" w:sz="6" w:space="0"/>
            </w:tcBorders>
            <w:vAlign w:val="center"/>
          </w:tcPr>
          <w:p w14:paraId="7BBE4120">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偏离</w:t>
            </w:r>
          </w:p>
        </w:tc>
        <w:tc>
          <w:tcPr>
            <w:tcW w:w="4964" w:type="dxa"/>
            <w:tcBorders>
              <w:top w:val="outset" w:color="auto" w:sz="6" w:space="0"/>
              <w:left w:val="outset" w:color="auto" w:sz="6" w:space="0"/>
              <w:bottom w:val="outset" w:color="auto" w:sz="6" w:space="0"/>
              <w:right w:val="outset" w:color="auto" w:sz="6" w:space="0"/>
            </w:tcBorders>
            <w:vAlign w:val="center"/>
          </w:tcPr>
          <w:p w14:paraId="45A522BD">
            <w:pPr>
              <w:spacing w:line="38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符合第二章“供应商须知”第1.8.2项规定</w:t>
            </w:r>
          </w:p>
        </w:tc>
      </w:tr>
      <w:tr w14:paraId="62C4B6B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14:paraId="082FB453">
            <w:pPr>
              <w:spacing w:line="460" w:lineRule="exact"/>
              <w:jc w:val="center"/>
              <w:rPr>
                <w:rFonts w:hint="eastAsia" w:asciiTheme="majorEastAsia" w:hAnsiTheme="majorEastAsia" w:eastAsiaTheme="majorEastAsia" w:cstheme="majorEastAsia"/>
                <w:color w:val="auto"/>
                <w:spacing w:val="-18"/>
                <w:highlight w:val="none"/>
              </w:rPr>
            </w:pPr>
            <w:r>
              <w:rPr>
                <w:rFonts w:hint="eastAsia" w:asciiTheme="majorEastAsia" w:hAnsiTheme="majorEastAsia" w:eastAsiaTheme="majorEastAsia" w:cstheme="majorEastAsia"/>
                <w:b/>
                <w:color w:val="auto"/>
                <w:spacing w:val="-14"/>
                <w:highlight w:val="none"/>
              </w:rPr>
              <w:t>2.2.2项评审内容由评标委员会负责，投标文件不符合2.2.2项评审标准的，作无效标处理。</w:t>
            </w:r>
          </w:p>
        </w:tc>
      </w:tr>
    </w:tbl>
    <w:p w14:paraId="27C048C2">
      <w:pPr>
        <w:adjustRightInd w:val="0"/>
        <w:snapToGrid w:val="0"/>
        <w:spacing w:line="500" w:lineRule="exact"/>
        <w:jc w:val="left"/>
        <w:outlineLvl w:val="1"/>
        <w:rPr>
          <w:rFonts w:hint="eastAsia" w:asciiTheme="majorEastAsia" w:hAnsiTheme="majorEastAsia" w:eastAsiaTheme="majorEastAsia" w:cstheme="majorEastAsia"/>
          <w:b/>
          <w:color w:val="auto"/>
          <w:highlight w:val="none"/>
        </w:rPr>
      </w:pPr>
      <w:bookmarkStart w:id="255" w:name="_Toc3972"/>
      <w:bookmarkStart w:id="256" w:name="_Toc426469921"/>
      <w:r>
        <w:rPr>
          <w:rFonts w:hint="eastAsia" w:asciiTheme="majorEastAsia" w:hAnsiTheme="majorEastAsia" w:eastAsiaTheme="majorEastAsia" w:cstheme="majorEastAsia"/>
          <w:b/>
          <w:color w:val="auto"/>
          <w:highlight w:val="none"/>
        </w:rPr>
        <w:t>2.3详细评审</w:t>
      </w:r>
      <w:bookmarkEnd w:id="255"/>
    </w:p>
    <w:tbl>
      <w:tblPr>
        <w:tblStyle w:val="26"/>
        <w:tblW w:w="8943" w:type="dxa"/>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top w:w="0" w:type="dxa"/>
          <w:left w:w="108" w:type="dxa"/>
          <w:bottom w:w="0" w:type="dxa"/>
          <w:right w:w="108" w:type="dxa"/>
        </w:tblCellMar>
      </w:tblPr>
      <w:tblGrid>
        <w:gridCol w:w="1163"/>
        <w:gridCol w:w="7780"/>
      </w:tblGrid>
      <w:tr w14:paraId="36BD23A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92" w:hRule="atLeast"/>
          <w:jc w:val="center"/>
        </w:trPr>
        <w:tc>
          <w:tcPr>
            <w:tcW w:w="1163" w:type="dxa"/>
            <w:tcBorders>
              <w:top w:val="single" w:color="auto" w:sz="4" w:space="0"/>
              <w:left w:val="single" w:color="auto" w:sz="4" w:space="0"/>
              <w:bottom w:val="single" w:color="auto" w:sz="4" w:space="0"/>
              <w:right w:val="single" w:color="auto" w:sz="4" w:space="0"/>
            </w:tcBorders>
            <w:vAlign w:val="center"/>
          </w:tcPr>
          <w:p w14:paraId="61FFBB6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评审因素</w:t>
            </w:r>
          </w:p>
        </w:tc>
        <w:tc>
          <w:tcPr>
            <w:tcW w:w="7780" w:type="dxa"/>
            <w:tcBorders>
              <w:top w:val="single" w:color="auto" w:sz="4" w:space="0"/>
              <w:left w:val="single" w:color="auto" w:sz="4" w:space="0"/>
              <w:bottom w:val="single" w:color="auto" w:sz="4" w:space="0"/>
              <w:right w:val="single" w:color="auto" w:sz="4" w:space="0"/>
            </w:tcBorders>
            <w:vAlign w:val="center"/>
          </w:tcPr>
          <w:p w14:paraId="53AA0E1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评审内容及标准</w:t>
            </w:r>
          </w:p>
        </w:tc>
      </w:tr>
      <w:tr w14:paraId="69D7EC5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92" w:hRule="atLeast"/>
          <w:jc w:val="center"/>
        </w:trPr>
        <w:tc>
          <w:tcPr>
            <w:tcW w:w="8943" w:type="dxa"/>
            <w:gridSpan w:val="2"/>
            <w:tcBorders>
              <w:top w:val="single" w:color="auto" w:sz="4" w:space="0"/>
              <w:left w:val="single" w:color="auto" w:sz="4" w:space="0"/>
              <w:bottom w:val="single" w:color="auto" w:sz="4" w:space="0"/>
              <w:right w:val="single" w:color="auto" w:sz="4" w:space="0"/>
            </w:tcBorders>
            <w:vAlign w:val="center"/>
          </w:tcPr>
          <w:p w14:paraId="10B31B62">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baseline"/>
                <w:lang w:val="en-US" w:eastAsia="zh-CN"/>
              </w:rPr>
              <w:t>一、报价评审（40分）</w:t>
            </w:r>
          </w:p>
        </w:tc>
      </w:tr>
      <w:tr w14:paraId="385BAD5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20" w:hRule="atLeast"/>
          <w:jc w:val="center"/>
        </w:trPr>
        <w:tc>
          <w:tcPr>
            <w:tcW w:w="1163" w:type="dxa"/>
            <w:tcBorders>
              <w:top w:val="single" w:color="auto" w:sz="4" w:space="0"/>
              <w:left w:val="single" w:color="auto" w:sz="4" w:space="0"/>
              <w:bottom w:val="single" w:color="auto" w:sz="4" w:space="0"/>
              <w:right w:val="single" w:color="auto" w:sz="4" w:space="0"/>
            </w:tcBorders>
            <w:vAlign w:val="center"/>
          </w:tcPr>
          <w:p w14:paraId="0F9AEB70">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投标报价</w:t>
            </w:r>
          </w:p>
        </w:tc>
        <w:tc>
          <w:tcPr>
            <w:tcW w:w="7780" w:type="dxa"/>
            <w:tcBorders>
              <w:top w:val="single" w:color="auto" w:sz="4" w:space="0"/>
              <w:left w:val="single" w:color="auto" w:sz="4" w:space="0"/>
              <w:bottom w:val="single" w:color="auto" w:sz="4" w:space="0"/>
              <w:right w:val="single" w:color="auto" w:sz="4" w:space="0"/>
            </w:tcBorders>
            <w:vAlign w:val="center"/>
          </w:tcPr>
          <w:p w14:paraId="646BAACD">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1.资格性审查和</w:t>
            </w:r>
            <w:r>
              <w:rPr>
                <w:rFonts w:hint="eastAsia" w:ascii="宋体" w:hAnsi="宋体" w:cs="宋体"/>
                <w:color w:val="auto"/>
                <w:sz w:val="21"/>
                <w:szCs w:val="21"/>
                <w:highlight w:val="none"/>
                <w:lang w:val="en-US" w:eastAsia="zh-CN"/>
              </w:rPr>
              <w:t>符合</w:t>
            </w:r>
            <w:r>
              <w:rPr>
                <w:rFonts w:hint="eastAsia" w:ascii="宋体" w:hAnsi="宋体" w:eastAsia="宋体" w:cs="宋体"/>
                <w:color w:val="auto"/>
                <w:sz w:val="21"/>
                <w:szCs w:val="21"/>
                <w:highlight w:val="none"/>
                <w:lang w:val="en-US" w:eastAsia="zh-CN"/>
              </w:rPr>
              <w:t>性评审全部合格且最终有效报价最低的投标报价作为评标基准价，其价格分为满分；其他供应商的价格分按以下公式计算：投标报价得分＝（评标基准价/投标报价）×40（分值保留两位小数）。</w:t>
            </w:r>
          </w:p>
          <w:p w14:paraId="1D4D9A55">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2.评审过程中出现下列情形之一的，评审委员会应当启动异常低价投标（响应）审查程序：</w:t>
            </w:r>
          </w:p>
          <w:p w14:paraId="25D56B15">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.1投标（响应）报价低于采购项目预算50%的，即投标（响应）报价&lt;采购项目预算×50%；</w:t>
            </w:r>
          </w:p>
          <w:p w14:paraId="2374439E">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.2投标（响应）报价低于采购项目最高限价45%的，即投标（响应）报价&lt;采购项目最高限价×45%；</w:t>
            </w:r>
          </w:p>
          <w:p w14:paraId="08868203">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3.3评审委员会认定的供应商报价过低、有可能影响产品质量或者不能诚信履约的其他情形。</w:t>
            </w:r>
          </w:p>
          <w:p w14:paraId="1E9CE60A">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tc>
      </w:tr>
      <w:tr w14:paraId="3F0CF0C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45" w:hRule="atLeast"/>
          <w:jc w:val="center"/>
        </w:trPr>
        <w:tc>
          <w:tcPr>
            <w:tcW w:w="8943" w:type="dxa"/>
            <w:gridSpan w:val="2"/>
            <w:tcBorders>
              <w:top w:val="single" w:color="auto" w:sz="4" w:space="0"/>
              <w:left w:val="single" w:color="auto" w:sz="4" w:space="0"/>
              <w:bottom w:val="single" w:color="auto" w:sz="4" w:space="0"/>
              <w:right w:val="single" w:color="auto" w:sz="4" w:space="0"/>
            </w:tcBorders>
            <w:vAlign w:val="center"/>
          </w:tcPr>
          <w:p w14:paraId="3C5E4771">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二、商务评审（</w:t>
            </w:r>
            <w:r>
              <w:rPr>
                <w:rFonts w:hint="eastAsia" w:ascii="宋体" w:hAnsi="宋体" w:cs="宋体"/>
                <w:color w:val="auto"/>
                <w:sz w:val="21"/>
                <w:szCs w:val="21"/>
                <w:highlight w:val="none"/>
                <w:lang w:val="en-US" w:eastAsia="zh-CN"/>
              </w:rPr>
              <w:t>37</w:t>
            </w:r>
            <w:r>
              <w:rPr>
                <w:rFonts w:hint="eastAsia" w:ascii="宋体" w:hAnsi="宋体" w:eastAsia="宋体" w:cs="宋体"/>
                <w:color w:val="auto"/>
                <w:sz w:val="21"/>
                <w:szCs w:val="21"/>
                <w:highlight w:val="none"/>
                <w:lang w:val="en-US" w:eastAsia="zh-CN"/>
              </w:rPr>
              <w:t>分）</w:t>
            </w:r>
          </w:p>
        </w:tc>
      </w:tr>
      <w:tr w14:paraId="6BAF1C0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89" w:hRule="atLeast"/>
          <w:jc w:val="center"/>
        </w:trPr>
        <w:tc>
          <w:tcPr>
            <w:tcW w:w="1163" w:type="dxa"/>
            <w:tcBorders>
              <w:top w:val="single" w:color="auto" w:sz="4" w:space="0"/>
              <w:left w:val="single" w:color="auto" w:sz="4" w:space="0"/>
              <w:bottom w:val="single" w:color="auto" w:sz="4" w:space="0"/>
              <w:right w:val="single" w:color="auto" w:sz="4" w:space="0"/>
            </w:tcBorders>
            <w:vAlign w:val="center"/>
          </w:tcPr>
          <w:p w14:paraId="0619DBB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技术指标（20分）</w:t>
            </w:r>
          </w:p>
        </w:tc>
        <w:tc>
          <w:tcPr>
            <w:tcW w:w="7780" w:type="dxa"/>
            <w:tcBorders>
              <w:top w:val="single" w:color="auto" w:sz="4" w:space="0"/>
              <w:left w:val="single" w:color="auto" w:sz="4" w:space="0"/>
              <w:bottom w:val="single" w:color="auto" w:sz="4" w:space="0"/>
              <w:right w:val="single" w:color="auto" w:sz="4" w:space="0"/>
            </w:tcBorders>
            <w:vAlign w:val="center"/>
          </w:tcPr>
          <w:p w14:paraId="50100225">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1、★实质性条款：要求供应商逐条响应（</w:t>
            </w:r>
            <w:r>
              <w:rPr>
                <w:rFonts w:hint="eastAsia" w:ascii="宋体" w:hAnsi="宋体" w:eastAsia="宋体" w:cs="宋体"/>
                <w:color w:val="auto"/>
                <w:sz w:val="21"/>
                <w:szCs w:val="21"/>
                <w:highlight w:val="none"/>
                <w:lang w:val="en-US" w:eastAsia="zh-CN"/>
              </w:rPr>
              <w:t>提供承诺函</w:t>
            </w:r>
            <w:r>
              <w:rPr>
                <w:rFonts w:hint="eastAsia" w:ascii="宋体" w:hAnsi="宋体" w:eastAsia="宋体" w:cs="宋体"/>
                <w:color w:val="auto"/>
                <w:sz w:val="21"/>
                <w:szCs w:val="21"/>
                <w:highlight w:val="none"/>
                <w:lang w:val="en-US" w:eastAsia="zh-CN"/>
              </w:rPr>
              <w:t>），实质性条款不满足，视为无效投标；</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2、▲关键技术指标：要求供应商提供实现软件功能的</w:t>
            </w:r>
            <w:r>
              <w:rPr>
                <w:rFonts w:hint="eastAsia" w:ascii="宋体" w:hAnsi="宋体" w:eastAsia="宋体" w:cs="宋体"/>
                <w:color w:val="auto"/>
                <w:sz w:val="21"/>
                <w:szCs w:val="21"/>
                <w:highlight w:val="none"/>
                <w:lang w:val="en-US" w:eastAsia="zh-CN"/>
              </w:rPr>
              <w:t>演示视频</w:t>
            </w:r>
            <w:r>
              <w:rPr>
                <w:rFonts w:hint="eastAsia" w:ascii="宋体" w:hAnsi="宋体" w:eastAsia="宋体" w:cs="宋体"/>
                <w:color w:val="auto"/>
                <w:sz w:val="21"/>
                <w:szCs w:val="21"/>
                <w:highlight w:val="none"/>
                <w:lang w:val="en-US" w:eastAsia="zh-CN"/>
              </w:rPr>
              <w:t>，缺少一项扣1分，扣完为止；</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3、一般技术指标：要求供应商逐条响应一般技术指标，每一项负偏离扣0.5分，扣完为止。</w:t>
            </w:r>
          </w:p>
          <w:p w14:paraId="3BFCB6B0">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各供应商均应将技术要求逐条列出、作出对比列入“技术要求响应偏离表”中，和证明材料一起供评委评判，否则评委可视为未对此进行响应。低于招标要求或未根据招标文件要求提供相关证明材料视为负偏离不得分。</w:t>
            </w:r>
          </w:p>
        </w:tc>
      </w:tr>
      <w:tr w14:paraId="6EC8960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91" w:hRule="atLeast"/>
          <w:jc w:val="center"/>
        </w:trPr>
        <w:tc>
          <w:tcPr>
            <w:tcW w:w="1163" w:type="dxa"/>
            <w:tcBorders>
              <w:top w:val="single" w:color="auto" w:sz="4" w:space="0"/>
              <w:left w:val="single" w:color="auto" w:sz="4" w:space="0"/>
              <w:bottom w:val="single" w:color="auto" w:sz="4" w:space="0"/>
              <w:right w:val="single" w:color="auto" w:sz="4" w:space="0"/>
            </w:tcBorders>
            <w:vAlign w:val="center"/>
          </w:tcPr>
          <w:p w14:paraId="50332A0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企业资质（</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c>
          <w:tcPr>
            <w:tcW w:w="7780" w:type="dxa"/>
            <w:tcBorders>
              <w:top w:val="single" w:color="auto" w:sz="4" w:space="0"/>
              <w:left w:val="single" w:color="auto" w:sz="4" w:space="0"/>
              <w:bottom w:val="single" w:color="auto" w:sz="4" w:space="0"/>
              <w:right w:val="single" w:color="auto" w:sz="4" w:space="0"/>
            </w:tcBorders>
            <w:vAlign w:val="center"/>
          </w:tcPr>
          <w:p w14:paraId="270F98A7">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供应商具有在有效期内的以下证书，每提供1项，得1分，共</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 xml:space="preserve">    1）ISO 9001质量管理体系认证证书</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 xml:space="preserve">    2）ISO45001中国职业健康安全管理体系认证</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）ISO14001环境管理体系认证</w:t>
            </w:r>
          </w:p>
          <w:p w14:paraId="70DE4963">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注：需提供有效期内的证书扫描件加盖供应商公章，否则不得分。</w:t>
            </w:r>
          </w:p>
        </w:tc>
      </w:tr>
      <w:tr w14:paraId="07713FF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91" w:hRule="atLeast"/>
          <w:jc w:val="center"/>
        </w:trPr>
        <w:tc>
          <w:tcPr>
            <w:tcW w:w="1163" w:type="dxa"/>
            <w:tcBorders>
              <w:top w:val="single" w:color="auto" w:sz="4" w:space="0"/>
              <w:left w:val="single" w:color="auto" w:sz="4" w:space="0"/>
              <w:bottom w:val="single" w:color="auto" w:sz="4" w:space="0"/>
              <w:right w:val="single" w:color="auto" w:sz="4" w:space="0"/>
            </w:tcBorders>
            <w:vAlign w:val="center"/>
          </w:tcPr>
          <w:p w14:paraId="3AC91DA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软件知识产权证明 （2分）</w:t>
            </w:r>
          </w:p>
        </w:tc>
        <w:tc>
          <w:tcPr>
            <w:tcW w:w="7780" w:type="dxa"/>
            <w:tcBorders>
              <w:top w:val="single" w:color="auto" w:sz="4" w:space="0"/>
              <w:left w:val="single" w:color="auto" w:sz="4" w:space="0"/>
              <w:bottom w:val="single" w:color="auto" w:sz="4" w:space="0"/>
              <w:right w:val="single" w:color="auto" w:sz="4" w:space="0"/>
            </w:tcBorders>
            <w:vAlign w:val="center"/>
          </w:tcPr>
          <w:p w14:paraId="1ED9D517">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供应商具有卒中或胸痛系统相关计算机软件著作权登记证书，每提供1项得1分，共2分。</w:t>
            </w:r>
          </w:p>
          <w:p w14:paraId="070ACDA0">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注：需提供有效期内的证书扫描件加盖供应商公章，否则不得分。</w:t>
            </w:r>
          </w:p>
        </w:tc>
      </w:tr>
      <w:tr w14:paraId="3CE3467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91" w:hRule="atLeast"/>
          <w:jc w:val="center"/>
        </w:trPr>
        <w:tc>
          <w:tcPr>
            <w:tcW w:w="1163" w:type="dxa"/>
            <w:tcBorders>
              <w:top w:val="single" w:color="auto" w:sz="4" w:space="0"/>
              <w:left w:val="single" w:color="auto" w:sz="4" w:space="0"/>
              <w:bottom w:val="single" w:color="auto" w:sz="4" w:space="0"/>
              <w:right w:val="single" w:color="auto" w:sz="4" w:space="0"/>
            </w:tcBorders>
            <w:vAlign w:val="center"/>
          </w:tcPr>
          <w:p w14:paraId="1BAA0A7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业绩证明（</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c>
          <w:tcPr>
            <w:tcW w:w="7780" w:type="dxa"/>
            <w:tcBorders>
              <w:top w:val="single" w:color="auto" w:sz="4" w:space="0"/>
              <w:left w:val="single" w:color="auto" w:sz="4" w:space="0"/>
              <w:bottom w:val="single" w:color="auto" w:sz="4" w:space="0"/>
              <w:right w:val="single" w:color="auto" w:sz="4" w:space="0"/>
            </w:tcBorders>
            <w:vAlign w:val="center"/>
          </w:tcPr>
          <w:p w14:paraId="5023E8A6">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供应商提供</w:t>
            </w:r>
            <w:r>
              <w:rPr>
                <w:rFonts w:hint="eastAsia" w:ascii="宋体" w:hAnsi="宋体" w:eastAsia="宋体" w:cs="宋体"/>
                <w:color w:val="auto"/>
                <w:sz w:val="21"/>
                <w:szCs w:val="21"/>
                <w:highlight w:val="none"/>
                <w:lang w:val="en-US" w:eastAsia="zh-CN"/>
              </w:rPr>
              <w:t>202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年</w:t>
            </w:r>
            <w:r>
              <w:rPr>
                <w:rFonts w:hint="eastAsia" w:ascii="宋体" w:hAnsi="宋体" w:eastAsia="宋体" w:cs="宋体"/>
                <w:color w:val="auto"/>
                <w:sz w:val="21"/>
                <w:szCs w:val="21"/>
                <w:highlight w:val="none"/>
                <w:lang w:val="en-US" w:eastAsia="zh-CN"/>
              </w:rPr>
              <w:t>1月1日后</w:t>
            </w:r>
            <w:r>
              <w:rPr>
                <w:rFonts w:hint="eastAsia" w:ascii="宋体" w:hAnsi="宋体" w:eastAsia="宋体" w:cs="宋体"/>
                <w:color w:val="auto"/>
                <w:sz w:val="21"/>
                <w:szCs w:val="21"/>
                <w:highlight w:val="none"/>
                <w:lang w:val="en-US" w:eastAsia="zh-CN"/>
              </w:rPr>
              <w:t>类似案例</w:t>
            </w:r>
            <w:r>
              <w:rPr>
                <w:rFonts w:hint="eastAsia" w:ascii="宋体" w:hAnsi="宋体" w:eastAsia="宋体" w:cs="宋体"/>
                <w:color w:val="auto"/>
                <w:sz w:val="21"/>
                <w:szCs w:val="21"/>
                <w:highlight w:val="none"/>
                <w:lang w:val="en-US" w:eastAsia="zh-CN"/>
              </w:rPr>
              <w:t>（时间依据以签订合同之日为准），每提供一个有效案例合同得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分，最高得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0B848171">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注：合同需</w:t>
            </w:r>
            <w:r>
              <w:rPr>
                <w:rFonts w:hint="eastAsia" w:ascii="宋体" w:hAnsi="宋体" w:eastAsia="宋体" w:cs="宋体"/>
                <w:color w:val="auto"/>
                <w:sz w:val="21"/>
                <w:szCs w:val="21"/>
                <w:highlight w:val="none"/>
              </w:rPr>
              <w:t>提供合同复印件，加盖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公章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提供的合同需清晰完整，</w:t>
            </w:r>
            <w:r>
              <w:rPr>
                <w:rFonts w:hint="eastAsia" w:ascii="宋体" w:hAnsi="宋体" w:cs="宋体"/>
                <w:color w:val="auto"/>
                <w:sz w:val="21"/>
                <w:szCs w:val="21"/>
                <w:highlight w:val="none"/>
                <w:lang w:val="en-US" w:eastAsia="zh-CN"/>
              </w:rPr>
              <w:t>主要页</w:t>
            </w:r>
            <w:r>
              <w:rPr>
                <w:rFonts w:hint="eastAsia" w:ascii="宋体" w:hAnsi="宋体" w:eastAsia="宋体" w:cs="宋体"/>
                <w:color w:val="auto"/>
                <w:sz w:val="21"/>
                <w:szCs w:val="21"/>
                <w:highlight w:val="none"/>
              </w:rPr>
              <w:t>不得遮挡，否则</w:t>
            </w:r>
            <w:r>
              <w:rPr>
                <w:rFonts w:hint="eastAsia" w:ascii="宋体" w:hAnsi="宋体" w:eastAsia="宋体" w:cs="宋体"/>
                <w:color w:val="auto"/>
                <w:sz w:val="21"/>
                <w:szCs w:val="21"/>
                <w:highlight w:val="none"/>
                <w:lang w:val="en-US" w:eastAsia="zh-CN"/>
              </w:rPr>
              <w:t>视</w:t>
            </w:r>
            <w:r>
              <w:rPr>
                <w:rFonts w:hint="eastAsia" w:ascii="宋体" w:hAnsi="宋体" w:eastAsia="宋体" w:cs="宋体"/>
                <w:color w:val="auto"/>
                <w:sz w:val="21"/>
                <w:szCs w:val="21"/>
                <w:highlight w:val="none"/>
              </w:rPr>
              <w:t>为无效合同</w:t>
            </w:r>
            <w:r>
              <w:rPr>
                <w:rFonts w:hint="eastAsia" w:ascii="宋体" w:hAnsi="宋体" w:eastAsia="宋体" w:cs="宋体"/>
                <w:color w:val="auto"/>
                <w:sz w:val="21"/>
                <w:szCs w:val="21"/>
                <w:highlight w:val="none"/>
                <w:lang w:val="en-US" w:eastAsia="zh-CN"/>
              </w:rPr>
              <w:t>案例。</w:t>
            </w:r>
          </w:p>
        </w:tc>
      </w:tr>
      <w:tr w14:paraId="6AEBA5B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91" w:hRule="atLeast"/>
          <w:jc w:val="center"/>
        </w:trPr>
        <w:tc>
          <w:tcPr>
            <w:tcW w:w="1163" w:type="dxa"/>
            <w:tcBorders>
              <w:top w:val="single" w:color="auto" w:sz="4" w:space="0"/>
              <w:left w:val="single" w:color="auto" w:sz="4" w:space="0"/>
              <w:bottom w:val="single" w:color="auto" w:sz="4" w:space="0"/>
              <w:right w:val="single" w:color="auto" w:sz="4" w:space="0"/>
            </w:tcBorders>
            <w:vAlign w:val="center"/>
          </w:tcPr>
          <w:p w14:paraId="52CD6B0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人员配置（5分）</w:t>
            </w:r>
          </w:p>
        </w:tc>
        <w:tc>
          <w:tcPr>
            <w:tcW w:w="7780" w:type="dxa"/>
            <w:tcBorders>
              <w:top w:val="single" w:color="auto" w:sz="4" w:space="0"/>
              <w:left w:val="single" w:color="auto" w:sz="4" w:space="0"/>
              <w:bottom w:val="single" w:color="auto" w:sz="4" w:space="0"/>
              <w:right w:val="single" w:color="auto" w:sz="4" w:space="0"/>
            </w:tcBorders>
            <w:vAlign w:val="center"/>
          </w:tcPr>
          <w:p w14:paraId="000E7E8E">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1.项目负责人</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具有人力资源和社会保障部门或工业和信息化部教育与考试中心颁发的信息系统项目管理师证书的得1分。</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2.项目团队成员</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项目组成员具有ITSS服务相关证书的</w:t>
            </w:r>
            <w:r>
              <w:rPr>
                <w:rFonts w:hint="eastAsia" w:ascii="宋体" w:hAnsi="宋体" w:cs="宋体"/>
                <w:color w:val="auto"/>
                <w:sz w:val="21"/>
                <w:szCs w:val="21"/>
                <w:highlight w:val="none"/>
                <w:lang w:val="en-US" w:eastAsia="zh-CN"/>
              </w:rPr>
              <w:t>得2分；</w:t>
            </w:r>
            <w:r>
              <w:rPr>
                <w:rFonts w:hint="eastAsia" w:ascii="宋体" w:hAnsi="宋体" w:eastAsia="宋体" w:cs="宋体"/>
                <w:color w:val="auto"/>
                <w:sz w:val="21"/>
                <w:szCs w:val="21"/>
                <w:highlight w:val="none"/>
                <w:lang w:val="en-US" w:eastAsia="zh-CN"/>
              </w:rPr>
              <w:t>项目组成员具有</w:t>
            </w:r>
            <w:r>
              <w:rPr>
                <w:rFonts w:hint="eastAsia" w:ascii="宋体" w:hAnsi="宋体" w:cs="宋体"/>
                <w:color w:val="auto"/>
                <w:sz w:val="21"/>
                <w:szCs w:val="21"/>
                <w:highlight w:val="none"/>
                <w:lang w:val="en-US" w:eastAsia="zh-CN"/>
              </w:rPr>
              <w:t>软件设计师</w:t>
            </w:r>
            <w:r>
              <w:rPr>
                <w:rFonts w:hint="eastAsia" w:ascii="宋体" w:hAnsi="宋体" w:eastAsia="宋体" w:cs="宋体"/>
                <w:color w:val="auto"/>
                <w:sz w:val="21"/>
                <w:szCs w:val="21"/>
                <w:highlight w:val="none"/>
                <w:lang w:val="en-US" w:eastAsia="zh-CN"/>
              </w:rPr>
              <w:t>证书的，</w:t>
            </w:r>
            <w:r>
              <w:rPr>
                <w:rFonts w:hint="eastAsia" w:ascii="宋体" w:hAnsi="宋体" w:cs="宋体"/>
                <w:color w:val="auto"/>
                <w:sz w:val="21"/>
                <w:szCs w:val="21"/>
                <w:highlight w:val="none"/>
                <w:lang w:val="en-US" w:eastAsia="zh-CN"/>
              </w:rPr>
              <w:t>得2分</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（注：需提供证书扫描件，</w:t>
            </w:r>
            <w:r>
              <w:rPr>
                <w:rFonts w:hint="eastAsia" w:ascii="宋体" w:hAnsi="宋体" w:eastAsia="宋体" w:cs="宋体"/>
                <w:color w:val="auto"/>
                <w:sz w:val="21"/>
                <w:szCs w:val="21"/>
                <w:highlight w:val="none"/>
              </w:rPr>
              <w:t>加盖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公章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同时项目负责人和团队成员需提供供应商为其缴纳近三个月内社保证明，</w:t>
            </w:r>
            <w:r>
              <w:rPr>
                <w:rFonts w:hint="eastAsia" w:ascii="宋体" w:hAnsi="宋体" w:eastAsia="宋体" w:cs="宋体"/>
                <w:color w:val="auto"/>
                <w:sz w:val="21"/>
                <w:szCs w:val="21"/>
                <w:highlight w:val="none"/>
              </w:rPr>
              <w:t>加盖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公章</w:t>
            </w:r>
            <w:r>
              <w:rPr>
                <w:rFonts w:hint="eastAsia" w:ascii="宋体" w:hAnsi="宋体" w:eastAsia="宋体" w:cs="宋体"/>
                <w:color w:val="auto"/>
                <w:sz w:val="21"/>
                <w:szCs w:val="21"/>
                <w:highlight w:val="none"/>
                <w:lang w:val="en-US" w:eastAsia="zh-CN"/>
              </w:rPr>
              <w:t>，未提供不得分，一人多证不重复计分）</w:t>
            </w:r>
          </w:p>
        </w:tc>
      </w:tr>
      <w:tr w14:paraId="1C9AAE6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61" w:hRule="atLeast"/>
          <w:jc w:val="center"/>
        </w:trPr>
        <w:tc>
          <w:tcPr>
            <w:tcW w:w="8943" w:type="dxa"/>
            <w:gridSpan w:val="2"/>
            <w:tcBorders>
              <w:top w:val="single" w:color="auto" w:sz="4" w:space="0"/>
              <w:left w:val="single" w:color="auto" w:sz="4" w:space="0"/>
              <w:bottom w:val="single" w:color="auto" w:sz="4" w:space="0"/>
              <w:right w:val="single" w:color="auto" w:sz="4" w:space="0"/>
            </w:tcBorders>
            <w:vAlign w:val="top"/>
          </w:tcPr>
          <w:p w14:paraId="25FD858B">
            <w:pPr>
              <w:pStyle w:val="65"/>
              <w:keepNext w:val="0"/>
              <w:keepLines w:val="0"/>
              <w:pageBreakBefore w:val="0"/>
              <w:tabs>
                <w:tab w:val="left" w:pos="346"/>
              </w:tabs>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三、技术评审（2</w:t>
            </w:r>
            <w:r>
              <w:rPr>
                <w:rFonts w:hint="eastAsia" w:cs="宋体"/>
                <w:color w:val="auto"/>
                <w:sz w:val="21"/>
                <w:szCs w:val="21"/>
                <w:highlight w:val="none"/>
                <w:lang w:val="en-US" w:eastAsia="zh-CN" w:bidi="ar-SA"/>
              </w:rPr>
              <w:t>7</w:t>
            </w:r>
            <w:r>
              <w:rPr>
                <w:rFonts w:hint="eastAsia" w:ascii="宋体" w:hAnsi="宋体" w:eastAsia="宋体" w:cs="宋体"/>
                <w:color w:val="auto"/>
                <w:sz w:val="21"/>
                <w:szCs w:val="21"/>
                <w:highlight w:val="none"/>
                <w:lang w:val="en-US" w:eastAsia="zh-CN" w:bidi="ar-SA"/>
              </w:rPr>
              <w:t>分）</w:t>
            </w:r>
          </w:p>
        </w:tc>
      </w:tr>
      <w:tr w14:paraId="6230355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97" w:hRule="atLeast"/>
          <w:jc w:val="center"/>
        </w:trPr>
        <w:tc>
          <w:tcPr>
            <w:tcW w:w="1163" w:type="dxa"/>
            <w:tcBorders>
              <w:top w:val="single" w:color="auto" w:sz="4" w:space="0"/>
              <w:left w:val="single" w:color="auto" w:sz="4" w:space="0"/>
              <w:bottom w:val="single" w:color="000000" w:sz="4" w:space="0"/>
              <w:right w:val="single" w:color="auto" w:sz="4" w:space="0"/>
            </w:tcBorders>
            <w:vAlign w:val="center"/>
          </w:tcPr>
          <w:p w14:paraId="17F966BB">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项目整体理解与分析方案</w:t>
            </w:r>
          </w:p>
          <w:p w14:paraId="5ECFD2B9">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w:t>
            </w:r>
          </w:p>
        </w:tc>
        <w:tc>
          <w:tcPr>
            <w:tcW w:w="7780" w:type="dxa"/>
            <w:tcBorders>
              <w:top w:val="single" w:color="auto" w:sz="4" w:space="0"/>
              <w:left w:val="single" w:color="auto" w:sz="4" w:space="0"/>
              <w:bottom w:val="single" w:color="auto" w:sz="4" w:space="0"/>
              <w:right w:val="single" w:color="auto" w:sz="4" w:space="0"/>
            </w:tcBorders>
            <w:vAlign w:val="center"/>
          </w:tcPr>
          <w:p w14:paraId="736E8593">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需求分析报告对采购人现状及业务、技术需求有充分认识和理解，分析科学深入，对于运维服务重点、难点具有明确合理的应对措施，得</w:t>
            </w:r>
            <w:r>
              <w:rPr>
                <w:rFonts w:hint="eastAsia" w:ascii="宋体" w:hAnsi="宋体" w:cs="宋体"/>
                <w:b/>
                <w:bCs/>
                <w:color w:val="auto"/>
                <w:sz w:val="21"/>
                <w:szCs w:val="21"/>
                <w:highlight w:val="none"/>
                <w:lang w:val="en-US" w:eastAsia="zh-CN" w:bidi="ar-SA"/>
              </w:rPr>
              <w:t>6</w:t>
            </w:r>
            <w:r>
              <w:rPr>
                <w:rFonts w:hint="eastAsia" w:ascii="宋体" w:hAnsi="宋体" w:eastAsia="宋体" w:cs="宋体"/>
                <w:color w:val="auto"/>
                <w:sz w:val="21"/>
                <w:szCs w:val="21"/>
                <w:highlight w:val="none"/>
                <w:lang w:val="en-US" w:eastAsia="zh-CN" w:bidi="ar-SA"/>
              </w:rPr>
              <w:t>分。</w:t>
            </w:r>
            <w:r>
              <w:rPr>
                <w:rFonts w:hint="eastAsia" w:ascii="宋体" w:hAnsi="宋体" w:eastAsia="宋体" w:cs="宋体"/>
                <w:color w:val="auto"/>
                <w:sz w:val="21"/>
                <w:szCs w:val="21"/>
                <w:highlight w:val="none"/>
                <w:lang w:val="en-US" w:eastAsia="zh-CN" w:bidi="ar-SA"/>
              </w:rPr>
              <w:br w:type="textWrapping"/>
            </w:r>
            <w:r>
              <w:rPr>
                <w:rFonts w:hint="eastAsia" w:ascii="宋体" w:hAnsi="宋体" w:eastAsia="宋体" w:cs="宋体"/>
                <w:color w:val="auto"/>
                <w:sz w:val="21"/>
                <w:szCs w:val="21"/>
                <w:highlight w:val="none"/>
                <w:lang w:val="en-US" w:eastAsia="zh-CN" w:bidi="ar-SA"/>
              </w:rPr>
              <w:t>需求分析报告对采购人现状及业务、技术需求认识和理解不够充分，分析不够科学深入，对于运维服务重点、难点的应对措施考虑不全面，得3分；</w:t>
            </w:r>
            <w:r>
              <w:rPr>
                <w:rFonts w:hint="eastAsia" w:ascii="宋体" w:hAnsi="宋体" w:eastAsia="宋体" w:cs="宋体"/>
                <w:color w:val="auto"/>
                <w:sz w:val="21"/>
                <w:szCs w:val="21"/>
                <w:highlight w:val="none"/>
                <w:lang w:val="en-US" w:eastAsia="zh-CN" w:bidi="ar-SA"/>
              </w:rPr>
              <w:br w:type="textWrapping"/>
            </w:r>
            <w:r>
              <w:rPr>
                <w:rFonts w:hint="eastAsia" w:ascii="宋体" w:hAnsi="宋体" w:eastAsia="宋体" w:cs="宋体"/>
                <w:color w:val="auto"/>
                <w:sz w:val="21"/>
                <w:szCs w:val="21"/>
                <w:highlight w:val="none"/>
                <w:lang w:val="en-US" w:eastAsia="zh-CN" w:bidi="ar-SA"/>
              </w:rPr>
              <w:t>需求分析报告对采购人现状及业务、技术需求没有认识和理解，分析浅显，对于运维服务重点、难点未做考虑，得1分；</w:t>
            </w:r>
            <w:r>
              <w:rPr>
                <w:rFonts w:hint="eastAsia" w:ascii="宋体" w:hAnsi="宋体" w:eastAsia="宋体" w:cs="宋体"/>
                <w:color w:val="auto"/>
                <w:sz w:val="21"/>
                <w:szCs w:val="21"/>
                <w:highlight w:val="none"/>
                <w:lang w:val="en-US" w:eastAsia="zh-CN" w:bidi="ar-SA"/>
              </w:rPr>
              <w:br w:type="textWrapping"/>
            </w:r>
            <w:r>
              <w:rPr>
                <w:rFonts w:hint="eastAsia" w:ascii="宋体" w:hAnsi="宋体" w:eastAsia="宋体" w:cs="宋体"/>
                <w:color w:val="auto"/>
                <w:sz w:val="21"/>
                <w:szCs w:val="21"/>
                <w:highlight w:val="none"/>
                <w:lang w:val="en-US" w:eastAsia="zh-CN" w:bidi="ar-SA"/>
              </w:rPr>
              <w:t>未提供需求分析报告或需求报告与项目严重不符，本项得0分。</w:t>
            </w:r>
          </w:p>
        </w:tc>
      </w:tr>
      <w:tr w14:paraId="0F4550A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51" w:hRule="atLeast"/>
          <w:jc w:val="center"/>
        </w:trPr>
        <w:tc>
          <w:tcPr>
            <w:tcW w:w="1163" w:type="dxa"/>
            <w:tcBorders>
              <w:top w:val="single" w:color="000000" w:sz="4" w:space="0"/>
              <w:left w:val="single" w:color="000000" w:sz="4" w:space="0"/>
              <w:bottom w:val="single" w:color="000000" w:sz="4" w:space="0"/>
              <w:right w:val="single" w:color="000000" w:sz="4" w:space="0"/>
            </w:tcBorders>
            <w:vAlign w:val="center"/>
          </w:tcPr>
          <w:p w14:paraId="4504508A">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项目系统集成、实施方案</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w:t>
            </w:r>
          </w:p>
        </w:tc>
        <w:tc>
          <w:tcPr>
            <w:tcW w:w="7780" w:type="dxa"/>
            <w:tcBorders>
              <w:top w:val="single" w:color="auto" w:sz="4" w:space="0"/>
              <w:left w:val="single" w:color="000000" w:sz="4" w:space="0"/>
              <w:bottom w:val="single" w:color="auto" w:sz="4" w:space="0"/>
              <w:right w:val="single" w:color="auto" w:sz="4" w:space="0"/>
            </w:tcBorders>
            <w:vAlign w:val="center"/>
          </w:tcPr>
          <w:p w14:paraId="683A955C">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编制的方案对项目特点和难点考虑较为全面；内容针对性强，可操作性强；对过程中可能出现的问题有全面的解决方案，有进度保障措施及创优计划的，得</w:t>
            </w:r>
            <w:r>
              <w:rPr>
                <w:rFonts w:hint="eastAsia" w:ascii="宋体" w:hAnsi="宋体" w:cs="宋体"/>
                <w:b/>
                <w:bCs/>
                <w:color w:val="auto"/>
                <w:sz w:val="21"/>
                <w:szCs w:val="21"/>
                <w:highlight w:val="none"/>
                <w:lang w:val="en-US" w:eastAsia="zh-CN" w:bidi="ar-SA"/>
              </w:rPr>
              <w:t>6</w:t>
            </w:r>
            <w:r>
              <w:rPr>
                <w:rFonts w:hint="eastAsia" w:ascii="宋体" w:hAnsi="宋体" w:eastAsia="宋体" w:cs="宋体"/>
                <w:color w:val="auto"/>
                <w:sz w:val="21"/>
                <w:szCs w:val="21"/>
                <w:highlight w:val="none"/>
                <w:lang w:val="en-US" w:eastAsia="zh-CN" w:bidi="ar-SA"/>
              </w:rPr>
              <w:t>分；</w:t>
            </w:r>
            <w:r>
              <w:rPr>
                <w:rFonts w:hint="eastAsia" w:ascii="宋体" w:hAnsi="宋体" w:eastAsia="宋体" w:cs="宋体"/>
                <w:color w:val="auto"/>
                <w:sz w:val="21"/>
                <w:szCs w:val="21"/>
                <w:highlight w:val="none"/>
                <w:lang w:val="en-US" w:eastAsia="zh-CN" w:bidi="ar-SA"/>
              </w:rPr>
              <w:br w:type="textWrapping"/>
            </w:r>
            <w:r>
              <w:rPr>
                <w:rFonts w:hint="eastAsia" w:ascii="宋体" w:hAnsi="宋体" w:eastAsia="宋体" w:cs="宋体"/>
                <w:color w:val="auto"/>
                <w:sz w:val="21"/>
                <w:szCs w:val="21"/>
                <w:highlight w:val="none"/>
                <w:lang w:val="en-US" w:eastAsia="zh-CN" w:bidi="ar-SA"/>
              </w:rPr>
              <w:t>编制的方案对项目特点和难点有考虑但不够全面的；内容针对性较好，对过程中可能出现的问题有较全面的解决方案，有进度保障措施及创优计划的，得3分；</w:t>
            </w:r>
            <w:r>
              <w:rPr>
                <w:rFonts w:hint="eastAsia" w:ascii="宋体" w:hAnsi="宋体" w:eastAsia="宋体" w:cs="宋体"/>
                <w:color w:val="auto"/>
                <w:sz w:val="21"/>
                <w:szCs w:val="21"/>
                <w:highlight w:val="none"/>
                <w:lang w:val="en-US" w:eastAsia="zh-CN" w:bidi="ar-SA"/>
              </w:rPr>
              <w:br w:type="textWrapping"/>
            </w:r>
            <w:r>
              <w:rPr>
                <w:rFonts w:hint="eastAsia" w:ascii="宋体" w:hAnsi="宋体" w:eastAsia="宋体" w:cs="宋体"/>
                <w:color w:val="auto"/>
                <w:sz w:val="21"/>
                <w:szCs w:val="21"/>
                <w:highlight w:val="none"/>
                <w:lang w:val="en-US" w:eastAsia="zh-CN" w:bidi="ar-SA"/>
              </w:rPr>
              <w:t>编制的方案对项目特点和难点有考虑但不够全面的；内容针对性一般，可操作性一般；对过程中可能出现的问题有解决方案，但不够全面的，得1分；</w:t>
            </w:r>
            <w:r>
              <w:rPr>
                <w:rFonts w:hint="eastAsia" w:ascii="宋体" w:hAnsi="宋体" w:eastAsia="宋体" w:cs="宋体"/>
                <w:color w:val="auto"/>
                <w:sz w:val="21"/>
                <w:szCs w:val="21"/>
                <w:highlight w:val="none"/>
                <w:lang w:val="en-US" w:eastAsia="zh-CN" w:bidi="ar-SA"/>
              </w:rPr>
              <w:br w:type="textWrapping"/>
            </w:r>
            <w:r>
              <w:rPr>
                <w:rFonts w:hint="eastAsia" w:ascii="宋体" w:hAnsi="宋体" w:eastAsia="宋体" w:cs="宋体"/>
                <w:color w:val="auto"/>
                <w:sz w:val="21"/>
                <w:szCs w:val="21"/>
                <w:highlight w:val="none"/>
                <w:lang w:val="en-US" w:eastAsia="zh-CN" w:bidi="ar-SA"/>
              </w:rPr>
              <w:t>不提供得0分。</w:t>
            </w:r>
          </w:p>
        </w:tc>
      </w:tr>
      <w:tr w14:paraId="6EB1C46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51" w:hRule="atLeast"/>
          <w:jc w:val="center"/>
        </w:trPr>
        <w:tc>
          <w:tcPr>
            <w:tcW w:w="1163" w:type="dxa"/>
            <w:tcBorders>
              <w:top w:val="single" w:color="000000" w:sz="4" w:space="0"/>
              <w:left w:val="single" w:color="000000" w:sz="4" w:space="0"/>
              <w:bottom w:val="single" w:color="000000" w:sz="4" w:space="0"/>
              <w:right w:val="single" w:color="000000" w:sz="4" w:space="0"/>
            </w:tcBorders>
            <w:vAlign w:val="center"/>
          </w:tcPr>
          <w:p w14:paraId="06E3BE24">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培训方案</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w:t>
            </w:r>
          </w:p>
        </w:tc>
        <w:tc>
          <w:tcPr>
            <w:tcW w:w="7780" w:type="dxa"/>
            <w:tcBorders>
              <w:top w:val="single" w:color="auto" w:sz="4" w:space="0"/>
              <w:left w:val="single" w:color="000000" w:sz="4" w:space="0"/>
              <w:bottom w:val="single" w:color="auto" w:sz="4" w:space="0"/>
              <w:right w:val="single" w:color="auto" w:sz="4" w:space="0"/>
            </w:tcBorders>
            <w:vAlign w:val="center"/>
          </w:tcPr>
          <w:p w14:paraId="287EF228">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培训方案全面合理有效，具有详细的培训计划、培训内容，得</w:t>
            </w:r>
            <w:r>
              <w:rPr>
                <w:rFonts w:hint="eastAsia" w:ascii="宋体" w:hAnsi="宋体" w:cs="宋体"/>
                <w:b/>
                <w:bCs/>
                <w:color w:val="auto"/>
                <w:sz w:val="21"/>
                <w:szCs w:val="21"/>
                <w:highlight w:val="none"/>
                <w:lang w:val="en-US" w:eastAsia="zh-CN" w:bidi="ar-SA"/>
              </w:rPr>
              <w:t>6</w:t>
            </w:r>
            <w:r>
              <w:rPr>
                <w:rFonts w:hint="eastAsia" w:ascii="宋体" w:hAnsi="宋体" w:eastAsia="宋体" w:cs="宋体"/>
                <w:color w:val="auto"/>
                <w:sz w:val="21"/>
                <w:szCs w:val="21"/>
                <w:highlight w:val="none"/>
                <w:lang w:val="en-US" w:eastAsia="zh-CN" w:bidi="ar-SA"/>
              </w:rPr>
              <w:t>分；</w:t>
            </w:r>
            <w:r>
              <w:rPr>
                <w:rFonts w:hint="eastAsia" w:ascii="宋体" w:hAnsi="宋体" w:eastAsia="宋体" w:cs="宋体"/>
                <w:color w:val="auto"/>
                <w:sz w:val="21"/>
                <w:szCs w:val="21"/>
                <w:highlight w:val="none"/>
                <w:lang w:val="en-US" w:eastAsia="zh-CN" w:bidi="ar-SA"/>
              </w:rPr>
              <w:br w:type="textWrapping"/>
            </w:r>
            <w:r>
              <w:rPr>
                <w:rFonts w:hint="eastAsia" w:ascii="宋体" w:hAnsi="宋体" w:eastAsia="宋体" w:cs="宋体"/>
                <w:color w:val="auto"/>
                <w:sz w:val="21"/>
                <w:szCs w:val="21"/>
                <w:highlight w:val="none"/>
                <w:lang w:val="en-US" w:eastAsia="zh-CN" w:bidi="ar-SA"/>
              </w:rPr>
              <w:t>培训方案不够全面，有效性欠缺，培训计划、培训内容不够详细，得3分；</w:t>
            </w:r>
            <w:r>
              <w:rPr>
                <w:rFonts w:hint="eastAsia" w:ascii="宋体" w:hAnsi="宋体" w:eastAsia="宋体" w:cs="宋体"/>
                <w:color w:val="auto"/>
                <w:sz w:val="21"/>
                <w:szCs w:val="21"/>
                <w:highlight w:val="none"/>
                <w:lang w:val="en-US" w:eastAsia="zh-CN" w:bidi="ar-SA"/>
              </w:rPr>
              <w:br w:type="textWrapping"/>
            </w:r>
            <w:r>
              <w:rPr>
                <w:rFonts w:hint="eastAsia" w:ascii="宋体" w:hAnsi="宋体" w:eastAsia="宋体" w:cs="宋体"/>
                <w:color w:val="auto"/>
                <w:sz w:val="21"/>
                <w:szCs w:val="21"/>
                <w:highlight w:val="none"/>
                <w:lang w:val="en-US" w:eastAsia="zh-CN" w:bidi="ar-SA"/>
              </w:rPr>
              <w:t>培训方案片面，不具有执行有效性，培训计划、培训内容不详细，得1分；</w:t>
            </w:r>
            <w:r>
              <w:rPr>
                <w:rFonts w:hint="eastAsia" w:ascii="宋体" w:hAnsi="宋体" w:eastAsia="宋体" w:cs="宋体"/>
                <w:color w:val="auto"/>
                <w:sz w:val="21"/>
                <w:szCs w:val="21"/>
                <w:highlight w:val="none"/>
                <w:lang w:val="en-US" w:eastAsia="zh-CN" w:bidi="ar-SA"/>
              </w:rPr>
              <w:br w:type="textWrapping"/>
            </w:r>
            <w:r>
              <w:rPr>
                <w:rFonts w:hint="eastAsia" w:ascii="宋体" w:hAnsi="宋体" w:eastAsia="宋体" w:cs="宋体"/>
                <w:color w:val="auto"/>
                <w:sz w:val="21"/>
                <w:szCs w:val="21"/>
                <w:highlight w:val="none"/>
                <w:lang w:val="en-US" w:eastAsia="zh-CN" w:bidi="ar-SA"/>
              </w:rPr>
              <w:t>不提供方案得0分。</w:t>
            </w:r>
          </w:p>
        </w:tc>
      </w:tr>
      <w:tr w14:paraId="67A1A16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51" w:hRule="atLeast"/>
          <w:jc w:val="center"/>
        </w:trPr>
        <w:tc>
          <w:tcPr>
            <w:tcW w:w="1163" w:type="dxa"/>
            <w:tcBorders>
              <w:top w:val="single" w:color="000000" w:sz="4" w:space="0"/>
              <w:left w:val="single" w:color="000000" w:sz="4" w:space="0"/>
              <w:bottom w:val="single" w:color="000000" w:sz="4" w:space="0"/>
              <w:right w:val="single" w:color="000000" w:sz="4" w:space="0"/>
            </w:tcBorders>
            <w:vAlign w:val="center"/>
          </w:tcPr>
          <w:p w14:paraId="41059BF0">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售后服务能力及保障措施</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w:t>
            </w:r>
          </w:p>
        </w:tc>
        <w:tc>
          <w:tcPr>
            <w:tcW w:w="7780" w:type="dxa"/>
            <w:tcBorders>
              <w:top w:val="single" w:color="auto" w:sz="4" w:space="0"/>
              <w:left w:val="single" w:color="000000" w:sz="4" w:space="0"/>
              <w:bottom w:val="single" w:color="auto" w:sz="4" w:space="0"/>
              <w:right w:val="single" w:color="auto" w:sz="4" w:space="0"/>
            </w:tcBorders>
            <w:vAlign w:val="center"/>
          </w:tcPr>
          <w:p w14:paraId="5E15E1B4">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售后服务能力强，保障措施完整度高，保障性强，售后服务方案、承诺及保证完善具体，针对性强，有相应的惩罚措施；服务承诺全面、合理、可行，切合实际，能较好的满足采购要求的，得</w:t>
            </w:r>
            <w:r>
              <w:rPr>
                <w:rFonts w:hint="eastAsia" w:ascii="宋体" w:hAnsi="宋体" w:cs="宋体"/>
                <w:b/>
                <w:bCs/>
                <w:color w:val="auto"/>
                <w:sz w:val="21"/>
                <w:szCs w:val="21"/>
                <w:highlight w:val="none"/>
                <w:lang w:val="en-US" w:eastAsia="zh-CN" w:bidi="ar-SA"/>
              </w:rPr>
              <w:t>6</w:t>
            </w:r>
            <w:r>
              <w:rPr>
                <w:rFonts w:hint="eastAsia" w:ascii="宋体" w:hAnsi="宋体" w:eastAsia="宋体" w:cs="宋体"/>
                <w:color w:val="auto"/>
                <w:sz w:val="21"/>
                <w:szCs w:val="21"/>
                <w:highlight w:val="none"/>
                <w:lang w:val="en-US" w:eastAsia="zh-CN" w:bidi="ar-SA"/>
              </w:rPr>
              <w:t>分；</w:t>
            </w:r>
            <w:r>
              <w:rPr>
                <w:rFonts w:hint="eastAsia" w:ascii="宋体" w:hAnsi="宋体" w:eastAsia="宋体" w:cs="宋体"/>
                <w:color w:val="auto"/>
                <w:sz w:val="21"/>
                <w:szCs w:val="21"/>
                <w:highlight w:val="none"/>
                <w:lang w:val="en-US" w:eastAsia="zh-CN" w:bidi="ar-SA"/>
              </w:rPr>
              <w:br w:type="textWrapping"/>
            </w:r>
            <w:r>
              <w:rPr>
                <w:rFonts w:hint="eastAsia" w:ascii="宋体" w:hAnsi="宋体" w:eastAsia="宋体" w:cs="宋体"/>
                <w:color w:val="auto"/>
                <w:sz w:val="21"/>
                <w:szCs w:val="21"/>
                <w:highlight w:val="none"/>
                <w:lang w:val="en-US" w:eastAsia="zh-CN" w:bidi="ar-SA"/>
              </w:rPr>
              <w:t>售后服务能力较强，保障措施完整度及保障性较好，售后服务方案、承诺及保证具体可行，有针对性，有相应的惩罚措施，服务承诺合理但缺乏针对性，能满足采购要求的，得3分；</w:t>
            </w:r>
            <w:r>
              <w:rPr>
                <w:rFonts w:hint="eastAsia" w:ascii="宋体" w:hAnsi="宋体" w:eastAsia="宋体" w:cs="宋体"/>
                <w:color w:val="auto"/>
                <w:sz w:val="21"/>
                <w:szCs w:val="21"/>
                <w:highlight w:val="none"/>
                <w:lang w:val="en-US" w:eastAsia="zh-CN" w:bidi="ar-SA"/>
              </w:rPr>
              <w:br w:type="textWrapping"/>
            </w:r>
            <w:r>
              <w:rPr>
                <w:rFonts w:hint="eastAsia" w:ascii="宋体" w:hAnsi="宋体" w:eastAsia="宋体" w:cs="宋体"/>
                <w:color w:val="auto"/>
                <w:sz w:val="21"/>
                <w:szCs w:val="21"/>
                <w:highlight w:val="none"/>
                <w:lang w:val="en-US" w:eastAsia="zh-CN" w:bidi="ar-SA"/>
              </w:rPr>
              <w:t>售后服务能力措施完整度及保障性描述简单，售后服务方案、承诺及保证可行，有一定的针对性，无相应的惩罚措施，服务承诺可行但不具体，基本满足采购要求的，得1分；</w:t>
            </w:r>
            <w:r>
              <w:rPr>
                <w:rFonts w:hint="eastAsia" w:ascii="宋体" w:hAnsi="宋体" w:eastAsia="宋体" w:cs="宋体"/>
                <w:color w:val="auto"/>
                <w:sz w:val="21"/>
                <w:szCs w:val="21"/>
                <w:highlight w:val="none"/>
                <w:lang w:val="en-US" w:eastAsia="zh-CN" w:bidi="ar-SA"/>
              </w:rPr>
              <w:br w:type="textWrapping"/>
            </w:r>
            <w:r>
              <w:rPr>
                <w:rFonts w:hint="eastAsia" w:ascii="宋体" w:hAnsi="宋体" w:eastAsia="宋体" w:cs="宋体"/>
                <w:color w:val="auto"/>
                <w:sz w:val="21"/>
                <w:szCs w:val="21"/>
                <w:highlight w:val="none"/>
                <w:lang w:val="en-US" w:eastAsia="zh-CN" w:bidi="ar-SA"/>
              </w:rPr>
              <w:t>不提供得0分。</w:t>
            </w:r>
          </w:p>
        </w:tc>
      </w:tr>
      <w:tr w14:paraId="0F684F8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51" w:hRule="atLeast"/>
          <w:jc w:val="center"/>
        </w:trPr>
        <w:tc>
          <w:tcPr>
            <w:tcW w:w="1163" w:type="dxa"/>
            <w:tcBorders>
              <w:top w:val="single" w:color="000000" w:sz="4" w:space="0"/>
              <w:left w:val="single" w:color="000000" w:sz="4" w:space="0"/>
              <w:bottom w:val="single" w:color="000000" w:sz="4" w:space="0"/>
              <w:right w:val="single" w:color="000000" w:sz="4" w:space="0"/>
            </w:tcBorders>
            <w:vAlign w:val="center"/>
          </w:tcPr>
          <w:p w14:paraId="42237327">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演示视频（3分）</w:t>
            </w:r>
          </w:p>
        </w:tc>
        <w:tc>
          <w:tcPr>
            <w:tcW w:w="7780" w:type="dxa"/>
            <w:tcBorders>
              <w:top w:val="single" w:color="auto" w:sz="4" w:space="0"/>
              <w:left w:val="single" w:color="000000" w:sz="4" w:space="0"/>
              <w:bottom w:val="single" w:color="auto" w:sz="4" w:space="0"/>
              <w:right w:val="single" w:color="auto" w:sz="4" w:space="0"/>
            </w:tcBorders>
            <w:vAlign w:val="center"/>
          </w:tcPr>
          <w:p w14:paraId="3056E1C3">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针对▲关键技术指标项，提供演示视频</w:t>
            </w:r>
          </w:p>
          <w:p w14:paraId="1BE217F4">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演示视频功能十分完整，响应速度快，容错能力强的得3分；功能基本完整，响应速度及时，容错能力达标的得1分；其余不得分。</w:t>
            </w:r>
          </w:p>
        </w:tc>
      </w:tr>
    </w:tbl>
    <w:p w14:paraId="44D31C31">
      <w:pPr>
        <w:adjustRightInd w:val="0"/>
        <w:snapToGrid w:val="0"/>
        <w:spacing w:line="50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1.资格审查</w:t>
      </w:r>
    </w:p>
    <w:p w14:paraId="218D92C7">
      <w:pPr>
        <w:pStyle w:val="10"/>
        <w:adjustRightInd w:val="0"/>
        <w:snapToGrid w:val="0"/>
        <w:spacing w:line="5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1.1项目开标结束后，招标人对供应商的资格进行审查。</w:t>
      </w:r>
    </w:p>
    <w:p w14:paraId="759172E2">
      <w:pPr>
        <w:pStyle w:val="10"/>
        <w:adjustRightInd w:val="0"/>
        <w:snapToGrid w:val="0"/>
        <w:spacing w:line="5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1.2资格审查的内容和标准：见资格审查和评标办法前附表。</w:t>
      </w:r>
    </w:p>
    <w:p w14:paraId="60A7A5B8">
      <w:pPr>
        <w:adjustRightInd w:val="0"/>
        <w:snapToGrid w:val="0"/>
        <w:spacing w:line="50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2.评标</w:t>
      </w:r>
    </w:p>
    <w:bookmarkEnd w:id="256"/>
    <w:p w14:paraId="03C7C8AF">
      <w:pPr>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57" w:name="_Toc14109"/>
      <w:r>
        <w:rPr>
          <w:rFonts w:hint="eastAsia" w:asciiTheme="majorEastAsia" w:hAnsiTheme="majorEastAsia" w:eastAsiaTheme="majorEastAsia" w:cstheme="majorEastAsia"/>
          <w:b/>
          <w:color w:val="auto"/>
          <w:highlight w:val="none"/>
        </w:rPr>
        <w:t>2.1评标方法</w:t>
      </w:r>
      <w:bookmarkEnd w:id="257"/>
    </w:p>
    <w:p w14:paraId="3ACB416D">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评标采用综合评分法，评标委员会对满足招标文件实质要求的投标文件，按照本章规定的程序和方法进行评审，并按总得分由高到低顺序推荐中标候选人。</w:t>
      </w:r>
    </w:p>
    <w:p w14:paraId="1ED7338D">
      <w:pPr>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58" w:name="_Toc4675"/>
      <w:r>
        <w:rPr>
          <w:rFonts w:hint="eastAsia" w:asciiTheme="majorEastAsia" w:hAnsiTheme="majorEastAsia" w:eastAsiaTheme="majorEastAsia" w:cstheme="majorEastAsia"/>
          <w:b/>
          <w:color w:val="auto"/>
          <w:highlight w:val="none"/>
        </w:rPr>
        <w:t>2.2初步评审</w:t>
      </w:r>
      <w:bookmarkEnd w:id="258"/>
    </w:p>
    <w:p w14:paraId="672DBEDE">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2.2.1评标委员会对通过资格审查的供应商进行初步评审。</w:t>
      </w:r>
    </w:p>
    <w:p w14:paraId="576B8C1E">
      <w:pPr>
        <w:pStyle w:val="10"/>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2.2.2初步评审的内容为投标文件的符合性评审。符合性评审的内容及标准：见资格审查和评标办法前附表。</w:t>
      </w:r>
    </w:p>
    <w:p w14:paraId="137D64D8">
      <w:pPr>
        <w:pStyle w:val="10"/>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59" w:name="_Toc3825"/>
      <w:r>
        <w:rPr>
          <w:rFonts w:hint="eastAsia" w:asciiTheme="majorEastAsia" w:hAnsiTheme="majorEastAsia" w:eastAsiaTheme="majorEastAsia" w:cstheme="majorEastAsia"/>
          <w:b/>
          <w:color w:val="auto"/>
          <w:highlight w:val="none"/>
        </w:rPr>
        <w:t>2.3详细评审</w:t>
      </w:r>
      <w:bookmarkEnd w:id="259"/>
    </w:p>
    <w:p w14:paraId="26C88B8B">
      <w:pPr>
        <w:pStyle w:val="10"/>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2.3.1评标委员会对通过初步评审的供应商进行详细评审。</w:t>
      </w:r>
    </w:p>
    <w:p w14:paraId="64F36099">
      <w:pPr>
        <w:pStyle w:val="10"/>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2.3.2详细评审的内容及标准：见资格审查和评标办法前附表。</w:t>
      </w:r>
    </w:p>
    <w:p w14:paraId="728AE6C9">
      <w:pPr>
        <w:pStyle w:val="10"/>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2.3.3因落实政府采购政策进行价格调整的，以调整后的价格计算评标基准价和投标报价。</w:t>
      </w:r>
    </w:p>
    <w:p w14:paraId="3E778DF9">
      <w:pPr>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0" w:name="_Toc8887"/>
      <w:bookmarkStart w:id="261" w:name="_Toc426469924"/>
      <w:r>
        <w:rPr>
          <w:rFonts w:hint="eastAsia" w:asciiTheme="majorEastAsia" w:hAnsiTheme="majorEastAsia" w:eastAsiaTheme="majorEastAsia" w:cstheme="majorEastAsia"/>
          <w:b/>
          <w:color w:val="auto"/>
          <w:highlight w:val="none"/>
        </w:rPr>
        <w:t>2.4评标报告</w:t>
      </w:r>
      <w:bookmarkEnd w:id="260"/>
    </w:p>
    <w:p w14:paraId="3FC0195F">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2.4.1详细评审结束后，评标委员会负责编写评标报告。</w:t>
      </w:r>
    </w:p>
    <w:p w14:paraId="75361388">
      <w:pPr>
        <w:pStyle w:val="10"/>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2.4.2采购代理机构自评审结束之日起2个工作日内将评标报告送交招标人。</w:t>
      </w:r>
    </w:p>
    <w:p w14:paraId="3A51FDA5">
      <w:pPr>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2" w:name="_Toc27999"/>
      <w:r>
        <w:rPr>
          <w:rFonts w:hint="eastAsia" w:asciiTheme="majorEastAsia" w:hAnsiTheme="majorEastAsia" w:eastAsiaTheme="majorEastAsia" w:cstheme="majorEastAsia"/>
          <w:b/>
          <w:color w:val="auto"/>
          <w:highlight w:val="none"/>
        </w:rPr>
        <w:t>2.5澄清、说明或补正</w:t>
      </w:r>
      <w:bookmarkEnd w:id="262"/>
    </w:p>
    <w:p w14:paraId="202AFE79">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2.5.1评标委员会在评审过程中，可以要求供应商对投标文件中含义不明确、同类问题表述不一致或者有明显文字和计算错误的内容等作出必要的澄清、说明或者更正。</w:t>
      </w:r>
    </w:p>
    <w:p w14:paraId="3C3A80D3">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2.5.2评标委员会要求供应商澄清、说明或者更正投标文件应当以书面形式作出。</w:t>
      </w:r>
    </w:p>
    <w:p w14:paraId="2AC65A92">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2.5.3供应商的澄清、说明或者更正应当由法定代表人或其授权代表签字或者加盖公章。由授权代表签字的，应当附法定代表人授权书。供应商的书面澄清材料作为投标文件的补充。</w:t>
      </w:r>
    </w:p>
    <w:p w14:paraId="580BE711">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2.5.4供应商的澄清、说明或者更正不得超出投标文件的范围或者改变投标文件的实质性内容。</w:t>
      </w:r>
    </w:p>
    <w:p w14:paraId="26D0D6B0">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2.5.5评标委员会不得接受供应商主动提出的澄清、说明或补正。</w:t>
      </w:r>
    </w:p>
    <w:p w14:paraId="3A4D3396">
      <w:pPr>
        <w:adjustRightInd w:val="0"/>
        <w:snapToGrid w:val="0"/>
        <w:spacing w:line="50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3.评标过程中特殊情况的处理规定</w:t>
      </w:r>
    </w:p>
    <w:p w14:paraId="561B4BF9">
      <w:pPr>
        <w:pStyle w:val="10"/>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3" w:name="_Toc20779"/>
      <w:r>
        <w:rPr>
          <w:rFonts w:hint="eastAsia" w:asciiTheme="majorEastAsia" w:hAnsiTheme="majorEastAsia" w:eastAsiaTheme="majorEastAsia" w:cstheme="majorEastAsia"/>
          <w:b/>
          <w:color w:val="auto"/>
          <w:highlight w:val="none"/>
        </w:rPr>
        <w:t>3.1投标报价的修正</w:t>
      </w:r>
      <w:bookmarkEnd w:id="263"/>
    </w:p>
    <w:p w14:paraId="09D25A72">
      <w:pPr>
        <w:pStyle w:val="10"/>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投标文件报价出现前后不一致的，按照下列规定修正： </w:t>
      </w:r>
    </w:p>
    <w:p w14:paraId="0C270D76">
      <w:pPr>
        <w:pStyle w:val="10"/>
        <w:adjustRightInd w:val="0"/>
        <w:snapToGrid w:val="0"/>
        <w:spacing w:line="440" w:lineRule="exact"/>
        <w:ind w:firstLine="240" w:firstLineChars="1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（1）投标文件中开标一览表内容与投标文件中相应内容不一致的，以开标一览表为准； </w:t>
      </w:r>
    </w:p>
    <w:p w14:paraId="42411C41">
      <w:pPr>
        <w:pStyle w:val="10"/>
        <w:adjustRightInd w:val="0"/>
        <w:snapToGrid w:val="0"/>
        <w:spacing w:line="440" w:lineRule="exact"/>
        <w:ind w:firstLine="240" w:firstLineChars="1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（2）大写金额和小写金额不一致的，以大写金额为准； </w:t>
      </w:r>
    </w:p>
    <w:p w14:paraId="35FE2F36">
      <w:pPr>
        <w:pStyle w:val="10"/>
        <w:adjustRightInd w:val="0"/>
        <w:snapToGrid w:val="0"/>
        <w:spacing w:line="440" w:lineRule="exact"/>
        <w:ind w:firstLine="240" w:firstLineChars="1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（3）单价金额小数点或者百分比有明显错位的，以开标一览表的总价为准，并修改单价； </w:t>
      </w:r>
    </w:p>
    <w:p w14:paraId="24F4622E">
      <w:pPr>
        <w:pStyle w:val="10"/>
        <w:adjustRightInd w:val="0"/>
        <w:snapToGrid w:val="0"/>
        <w:spacing w:line="440" w:lineRule="exact"/>
        <w:ind w:firstLine="240" w:firstLineChars="1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（4）总价金额与按单价汇总金额不一致的，以单价金额计算结果为准。 </w:t>
      </w:r>
    </w:p>
    <w:p w14:paraId="3FBC5AF7">
      <w:pPr>
        <w:pStyle w:val="10"/>
        <w:adjustRightInd w:val="0"/>
        <w:snapToGrid w:val="0"/>
        <w:spacing w:line="44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同时出现两种以上不一致的，按照前款规定的顺序修正。修正后的报价按照本章第2.5条的规定经供应商确认后产生约束力，供应商不确认的，其投标无效。</w:t>
      </w:r>
    </w:p>
    <w:p w14:paraId="37A83BB8">
      <w:pPr>
        <w:pStyle w:val="10"/>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4" w:name="_Toc6511"/>
      <w:r>
        <w:rPr>
          <w:rFonts w:hint="eastAsia" w:asciiTheme="majorEastAsia" w:hAnsiTheme="majorEastAsia" w:eastAsiaTheme="majorEastAsia" w:cstheme="majorEastAsia"/>
          <w:b/>
          <w:color w:val="auto"/>
          <w:highlight w:val="none"/>
        </w:rPr>
        <w:t>3.2评标委员会成员的更换</w:t>
      </w:r>
      <w:bookmarkEnd w:id="264"/>
    </w:p>
    <w:p w14:paraId="7E798D6D">
      <w:pPr>
        <w:pStyle w:val="10"/>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3.2.1评标过程中，因评标委员会成员缺席、回避或者健康等特殊原因导致评标委员会组成不符合规定的，招标人将依法补足后继续评标。被更换的评标委员会成员所作出的评标意见无效。 </w:t>
      </w:r>
    </w:p>
    <w:p w14:paraId="6B52531D">
      <w:pPr>
        <w:pStyle w:val="10"/>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3.2.2无法及时补足评标委员会成员的，招标人将停止评标活动，封存所有投标文件和开标、评标资料，依法重新组建评标委员会进行评标。原评标委员会所作出的评标意见无效。</w:t>
      </w:r>
    </w:p>
    <w:p w14:paraId="759EB2DB">
      <w:pPr>
        <w:pStyle w:val="10"/>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5" w:name="_Toc26846"/>
      <w:r>
        <w:rPr>
          <w:rFonts w:hint="eastAsia" w:asciiTheme="majorEastAsia" w:hAnsiTheme="majorEastAsia" w:eastAsiaTheme="majorEastAsia" w:cstheme="majorEastAsia"/>
          <w:b/>
          <w:color w:val="auto"/>
          <w:highlight w:val="none"/>
        </w:rPr>
        <w:t>3.3异常低价的处理</w:t>
      </w:r>
      <w:bookmarkEnd w:id="265"/>
    </w:p>
    <w:p w14:paraId="6692654D">
      <w:pPr>
        <w:pStyle w:val="10"/>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14:paraId="12BC1302">
      <w:pPr>
        <w:pStyle w:val="10"/>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6" w:name="_Toc14415"/>
      <w:r>
        <w:rPr>
          <w:rFonts w:hint="eastAsia" w:asciiTheme="majorEastAsia" w:hAnsiTheme="majorEastAsia" w:eastAsiaTheme="majorEastAsia" w:cstheme="majorEastAsia"/>
          <w:b/>
          <w:color w:val="auto"/>
          <w:highlight w:val="none"/>
        </w:rPr>
        <w:t>3.4争议解决</w:t>
      </w:r>
      <w:bookmarkEnd w:id="266"/>
    </w:p>
    <w:p w14:paraId="7ADF1E4B">
      <w:pPr>
        <w:pStyle w:val="10"/>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评标委员会成员对需要共同认定的事项存在争议的，按照少数服从多数的原则作出结论。持不同意见的评标委员会成员须在评标报告上签署不同意见及理由。</w:t>
      </w:r>
    </w:p>
    <w:p w14:paraId="330F5632">
      <w:pPr>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7" w:name="_Toc11631"/>
      <w:r>
        <w:rPr>
          <w:rFonts w:hint="eastAsia" w:asciiTheme="majorEastAsia" w:hAnsiTheme="majorEastAsia" w:eastAsiaTheme="majorEastAsia" w:cstheme="majorEastAsia"/>
          <w:b/>
          <w:color w:val="auto"/>
          <w:highlight w:val="none"/>
        </w:rPr>
        <w:t>3.5评标终止</w:t>
      </w:r>
      <w:bookmarkEnd w:id="267"/>
    </w:p>
    <w:p w14:paraId="4CFD9849">
      <w:pPr>
        <w:pStyle w:val="10"/>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38D3FC2B">
      <w:pPr>
        <w:rPr>
          <w:rFonts w:hint="eastAsia"/>
          <w:color w:val="auto"/>
        </w:rPr>
      </w:pPr>
    </w:p>
    <w:p w14:paraId="0D30AFCD">
      <w:pPr>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8" w:name="_Toc3496"/>
      <w:r>
        <w:rPr>
          <w:rFonts w:hint="eastAsia" w:asciiTheme="majorEastAsia" w:hAnsiTheme="majorEastAsia" w:eastAsiaTheme="majorEastAsia" w:cstheme="majorEastAsia"/>
          <w:b/>
          <w:color w:val="auto"/>
          <w:highlight w:val="none"/>
        </w:rPr>
        <w:t>3.6修改评标结果</w:t>
      </w:r>
      <w:bookmarkEnd w:id="268"/>
    </w:p>
    <w:p w14:paraId="43872DC1">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评审组长负责汇总和核对各评标委员会成员的评审结果。在评标报告签署前，出现下列情形之一的，可以要求其当场修改评审结果：</w:t>
      </w:r>
    </w:p>
    <w:p w14:paraId="2E2C1546">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（1）分值汇总计算错误；</w:t>
      </w:r>
    </w:p>
    <w:p w14:paraId="4A0C230E">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（2）分项评分超出评分标准范围；</w:t>
      </w:r>
    </w:p>
    <w:p w14:paraId="3E180809">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（3）评标委员会成员对客观评审因素评分不一致；</w:t>
      </w:r>
    </w:p>
    <w:p w14:paraId="1ABA6CEE">
      <w:pPr>
        <w:pStyle w:val="10"/>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（4）经评标委员会认定评分畸高或畸低。</w:t>
      </w:r>
    </w:p>
    <w:p w14:paraId="446CAAFD">
      <w:pPr>
        <w:pStyle w:val="10"/>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69" w:name="_Toc12381"/>
      <w:r>
        <w:rPr>
          <w:rFonts w:hint="eastAsia" w:asciiTheme="majorEastAsia" w:hAnsiTheme="majorEastAsia" w:eastAsiaTheme="majorEastAsia" w:cstheme="majorEastAsia"/>
          <w:b/>
          <w:color w:val="auto"/>
          <w:highlight w:val="none"/>
        </w:rPr>
        <w:t>3.7 供应商总分相同</w:t>
      </w:r>
      <w:bookmarkEnd w:id="269"/>
    </w:p>
    <w:p w14:paraId="547E3778">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供应商总分相同时，投标报价低的排名优先；如投标报价也相同，由招标人抽签确定排序。</w:t>
      </w:r>
    </w:p>
    <w:p w14:paraId="42F6739A">
      <w:pPr>
        <w:pStyle w:val="10"/>
        <w:adjustRightInd w:val="0"/>
        <w:snapToGrid w:val="0"/>
        <w:spacing w:line="500" w:lineRule="exact"/>
        <w:outlineLvl w:val="1"/>
        <w:rPr>
          <w:rFonts w:hint="eastAsia" w:asciiTheme="majorEastAsia" w:hAnsiTheme="majorEastAsia" w:eastAsiaTheme="majorEastAsia" w:cstheme="majorEastAsia"/>
          <w:b/>
          <w:color w:val="auto"/>
          <w:highlight w:val="none"/>
        </w:rPr>
      </w:pPr>
      <w:bookmarkStart w:id="270" w:name="_Toc14222"/>
      <w:r>
        <w:rPr>
          <w:rFonts w:hint="eastAsia" w:asciiTheme="majorEastAsia" w:hAnsiTheme="majorEastAsia" w:eastAsiaTheme="majorEastAsia" w:cstheme="majorEastAsia"/>
          <w:b/>
          <w:color w:val="auto"/>
          <w:highlight w:val="none"/>
        </w:rPr>
        <w:t>3.8评标报告签署</w:t>
      </w:r>
      <w:bookmarkEnd w:id="270"/>
    </w:p>
    <w:p w14:paraId="7CC1CFAF">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2C8CF845">
      <w:pPr>
        <w:pStyle w:val="10"/>
        <w:adjustRightInd w:val="0"/>
        <w:snapToGrid w:val="0"/>
        <w:spacing w:line="50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4.判定无效投标的规定</w:t>
      </w:r>
    </w:p>
    <w:p w14:paraId="378155B2">
      <w:pPr>
        <w:pStyle w:val="10"/>
        <w:adjustRightInd w:val="0"/>
        <w:snapToGrid w:val="0"/>
        <w:spacing w:after="0" w:line="500" w:lineRule="exact"/>
        <w:rPr>
          <w:rFonts w:hint="eastAsia" w:asciiTheme="majorEastAsia" w:hAnsiTheme="majorEastAsia" w:eastAsiaTheme="majorEastAsia" w:cstheme="majorEastAsia"/>
          <w:b/>
          <w:color w:val="auto"/>
          <w:spacing w:val="-14"/>
          <w:highlight w:val="none"/>
        </w:rPr>
      </w:pPr>
      <w:r>
        <w:rPr>
          <w:rFonts w:hint="eastAsia" w:asciiTheme="majorEastAsia" w:hAnsiTheme="majorEastAsia" w:eastAsiaTheme="majorEastAsia" w:cstheme="majorEastAsia"/>
          <w:b/>
          <w:color w:val="auto"/>
          <w:highlight w:val="none"/>
        </w:rPr>
        <w:t>4.1资格审查过程中，</w:t>
      </w:r>
      <w:r>
        <w:rPr>
          <w:rFonts w:hint="eastAsia" w:asciiTheme="majorEastAsia" w:hAnsiTheme="majorEastAsia" w:eastAsiaTheme="majorEastAsia" w:cstheme="majorEastAsia"/>
          <w:b/>
          <w:color w:val="auto"/>
          <w:spacing w:val="-14"/>
          <w:highlight w:val="none"/>
        </w:rPr>
        <w:t>投标文件出现不符合1.2项评审标准之一的，作无效标处理。</w:t>
      </w:r>
    </w:p>
    <w:p w14:paraId="6E17575F">
      <w:pPr>
        <w:pStyle w:val="10"/>
        <w:adjustRightInd w:val="0"/>
        <w:snapToGrid w:val="0"/>
        <w:spacing w:after="0" w:line="500" w:lineRule="exact"/>
        <w:outlineLvl w:val="1"/>
        <w:rPr>
          <w:rFonts w:hint="eastAsia" w:asciiTheme="majorEastAsia" w:hAnsiTheme="majorEastAsia" w:eastAsiaTheme="majorEastAsia" w:cstheme="majorEastAsia"/>
          <w:b/>
          <w:color w:val="auto"/>
          <w:spacing w:val="-14"/>
          <w:highlight w:val="none"/>
        </w:rPr>
      </w:pPr>
      <w:bookmarkStart w:id="271" w:name="_Toc2805"/>
      <w:r>
        <w:rPr>
          <w:rFonts w:hint="eastAsia" w:asciiTheme="majorEastAsia" w:hAnsiTheme="majorEastAsia" w:eastAsiaTheme="majorEastAsia" w:cstheme="majorEastAsia"/>
          <w:b/>
          <w:color w:val="auto"/>
          <w:spacing w:val="-14"/>
          <w:highlight w:val="none"/>
        </w:rPr>
        <w:t>4.2</w:t>
      </w:r>
      <w:r>
        <w:rPr>
          <w:rFonts w:hint="eastAsia" w:asciiTheme="majorEastAsia" w:hAnsiTheme="majorEastAsia" w:eastAsiaTheme="majorEastAsia" w:cstheme="majorEastAsia"/>
          <w:b/>
          <w:color w:val="auto"/>
          <w:highlight w:val="none"/>
        </w:rPr>
        <w:t>评标过程中，有下列情形之一的，作无效投标处理。</w:t>
      </w:r>
      <w:bookmarkEnd w:id="271"/>
    </w:p>
    <w:p w14:paraId="75ADC3FA">
      <w:pPr>
        <w:pStyle w:val="10"/>
        <w:adjustRightInd w:val="0"/>
        <w:snapToGrid w:val="0"/>
        <w:spacing w:after="0"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（1）符合性评审时，投标文件出现不符合2.2.2项评审标准之一的；</w:t>
      </w:r>
    </w:p>
    <w:p w14:paraId="13BE302B">
      <w:pPr>
        <w:pStyle w:val="10"/>
        <w:adjustRightInd w:val="0"/>
        <w:snapToGrid w:val="0"/>
        <w:spacing w:after="0"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（2）供应商不确认评标委员会提出的投标报价修正意见的；</w:t>
      </w:r>
    </w:p>
    <w:p w14:paraId="27483B6D">
      <w:pPr>
        <w:pStyle w:val="10"/>
        <w:adjustRightInd w:val="0"/>
        <w:snapToGrid w:val="0"/>
        <w:spacing w:after="0"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（3）未按照评标委员会要求提供书面说明及相关证明材料证明其报价合理性的；</w:t>
      </w:r>
    </w:p>
    <w:p w14:paraId="11C921A2">
      <w:pPr>
        <w:pStyle w:val="10"/>
        <w:adjustRightInd w:val="0"/>
        <w:snapToGrid w:val="0"/>
        <w:spacing w:after="0"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（4）投标文件含有采购人不能接受的附加条件的。</w:t>
      </w:r>
    </w:p>
    <w:p w14:paraId="0CF8A833">
      <w:pPr>
        <w:pStyle w:val="10"/>
        <w:adjustRightInd w:val="0"/>
        <w:snapToGrid w:val="0"/>
        <w:spacing w:after="0" w:line="500" w:lineRule="exact"/>
        <w:outlineLvl w:val="1"/>
        <w:rPr>
          <w:rFonts w:hint="eastAsia" w:asciiTheme="majorEastAsia" w:hAnsiTheme="majorEastAsia" w:eastAsiaTheme="majorEastAsia" w:cstheme="majorEastAsia"/>
          <w:b/>
          <w:color w:val="auto"/>
          <w:highlight w:val="none"/>
        </w:rPr>
      </w:pPr>
      <w:bookmarkStart w:id="272" w:name="_Toc14142"/>
      <w:r>
        <w:rPr>
          <w:rFonts w:hint="eastAsia" w:asciiTheme="majorEastAsia" w:hAnsiTheme="majorEastAsia" w:eastAsiaTheme="majorEastAsia" w:cstheme="majorEastAsia"/>
          <w:b/>
          <w:color w:val="auto"/>
          <w:highlight w:val="none"/>
        </w:rPr>
        <w:t>4.3法律、法规规定的其他投标无效情形。</w:t>
      </w:r>
      <w:bookmarkEnd w:id="247"/>
      <w:bookmarkEnd w:id="248"/>
      <w:bookmarkEnd w:id="249"/>
      <w:bookmarkEnd w:id="250"/>
      <w:bookmarkEnd w:id="251"/>
      <w:bookmarkEnd w:id="252"/>
      <w:bookmarkEnd w:id="253"/>
      <w:bookmarkEnd w:id="254"/>
      <w:bookmarkEnd w:id="261"/>
      <w:bookmarkEnd w:id="272"/>
    </w:p>
    <w:p w14:paraId="3B439AB1">
      <w:pPr>
        <w:pStyle w:val="10"/>
        <w:rPr>
          <w:rFonts w:hint="eastAsia" w:asciiTheme="majorEastAsia" w:hAnsiTheme="majorEastAsia" w:eastAsiaTheme="majorEastAsia" w:cstheme="majorEastAsia"/>
          <w:color w:val="auto"/>
          <w:highlight w:val="none"/>
        </w:rPr>
      </w:pPr>
    </w:p>
    <w:p w14:paraId="43EABBFD">
      <w:pPr>
        <w:adjustRightInd w:val="0"/>
        <w:snapToGrid w:val="0"/>
        <w:spacing w:line="500" w:lineRule="exact"/>
        <w:jc w:val="center"/>
        <w:outlineLvl w:val="0"/>
        <w:rPr>
          <w:rFonts w:hint="eastAsia" w:asciiTheme="majorEastAsia" w:hAnsiTheme="majorEastAsia" w:eastAsiaTheme="majorEastAsia" w:cstheme="majorEastAsia"/>
          <w:b/>
          <w:color w:val="auto"/>
          <w:highlight w:val="none"/>
        </w:rPr>
      </w:pPr>
      <w:bookmarkStart w:id="273" w:name="_Toc7380"/>
      <w:bookmarkStart w:id="274" w:name="_Toc383623741"/>
      <w:bookmarkStart w:id="275" w:name="_Toc383624013"/>
      <w:bookmarkStart w:id="276" w:name="_Toc390246973"/>
      <w:bookmarkStart w:id="277" w:name="_Toc390098908"/>
      <w:bookmarkStart w:id="278" w:name="_Toc383698715"/>
      <w:bookmarkStart w:id="279" w:name="_Toc383679815"/>
      <w:bookmarkStart w:id="280" w:name="_Toc425871381"/>
      <w:bookmarkStart w:id="281" w:name="_Toc390099086"/>
      <w:bookmarkStart w:id="282" w:name="_Toc383626062"/>
      <w:r>
        <w:rPr>
          <w:rFonts w:hint="eastAsia" w:asciiTheme="majorEastAsia" w:hAnsiTheme="majorEastAsia" w:eastAsiaTheme="majorEastAsia" w:cstheme="majorEastAsia"/>
          <w:b/>
          <w:color w:val="auto"/>
          <w:highlight w:val="none"/>
        </w:rPr>
        <w:br w:type="page"/>
      </w:r>
    </w:p>
    <w:p w14:paraId="1CB29026">
      <w:pPr>
        <w:pStyle w:val="20"/>
        <w:numPr>
          <w:ilvl w:val="0"/>
          <w:numId w:val="2"/>
        </w:numPr>
        <w:adjustRightInd w:val="0"/>
        <w:snapToGrid w:val="0"/>
        <w:spacing w:line="500" w:lineRule="exact"/>
        <w:ind w:left="0" w:firstLine="0"/>
        <w:jc w:val="center"/>
        <w:outlineLvl w:val="0"/>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合同条款</w:t>
      </w:r>
      <w:bookmarkStart w:id="283" w:name="_Toc382812295"/>
      <w:bookmarkStart w:id="284" w:name="_Toc120614222"/>
      <w:bookmarkStart w:id="285" w:name="_Toc383626041"/>
      <w:bookmarkStart w:id="286" w:name="_Toc513029243"/>
      <w:bookmarkStart w:id="287" w:name="_Toc383698694"/>
      <w:bookmarkStart w:id="288" w:name="_Toc16938559"/>
      <w:bookmarkStart w:id="289" w:name="_Toc383679794"/>
      <w:bookmarkStart w:id="290" w:name="_Toc390098887"/>
      <w:bookmarkStart w:id="291" w:name="_Toc382813933"/>
      <w:bookmarkStart w:id="292" w:name="_Toc382812484"/>
      <w:bookmarkStart w:id="293" w:name="_Toc390099065"/>
      <w:bookmarkStart w:id="294" w:name="_Toc382814014"/>
      <w:bookmarkStart w:id="295" w:name="_Toc390246952"/>
      <w:bookmarkStart w:id="296" w:name="_Toc382811181"/>
      <w:bookmarkStart w:id="297" w:name="_Toc288030332"/>
      <w:bookmarkStart w:id="298" w:name="_Toc383587505"/>
      <w:bookmarkStart w:id="299" w:name="_Toc383623720"/>
      <w:bookmarkStart w:id="300" w:name="_Toc382811586"/>
      <w:bookmarkStart w:id="301" w:name="_Toc282446296"/>
      <w:bookmarkStart w:id="302" w:name="_Toc20823315"/>
      <w:bookmarkStart w:id="303" w:name="_Toc383623992"/>
      <w:bookmarkStart w:id="304" w:name="_Toc425871366"/>
      <w:r>
        <w:rPr>
          <w:rFonts w:hint="eastAsia" w:asciiTheme="majorEastAsia" w:hAnsiTheme="majorEastAsia" w:eastAsiaTheme="majorEastAsia" w:cstheme="majorEastAsia"/>
          <w:b/>
          <w:color w:val="auto"/>
          <w:highlight w:val="none"/>
        </w:rPr>
        <w:t>（仅供参考）</w:t>
      </w:r>
      <w:bookmarkEnd w:id="273"/>
    </w:p>
    <w:p w14:paraId="1B11EC92">
      <w:pPr>
        <w:widowControl/>
        <w:shd w:val="clear" w:color="auto" w:fill="FFFFFF"/>
        <w:spacing w:line="360" w:lineRule="auto"/>
        <w:jc w:val="center"/>
        <w:outlineLvl w:val="1"/>
        <w:rPr>
          <w:rFonts w:hint="eastAsia" w:asciiTheme="majorEastAsia" w:hAnsiTheme="majorEastAsia" w:eastAsiaTheme="majorEastAsia" w:cstheme="majorEastAsia"/>
          <w:b/>
          <w:bCs/>
          <w:color w:val="auto"/>
          <w:highlight w:val="none"/>
        </w:rPr>
      </w:pPr>
      <w:bookmarkStart w:id="305" w:name="_Toc26484"/>
      <w:r>
        <w:rPr>
          <w:rFonts w:hint="eastAsia" w:asciiTheme="majorEastAsia" w:hAnsiTheme="majorEastAsia" w:eastAsiaTheme="majorEastAsia" w:cstheme="majorEastAsia"/>
          <w:b/>
          <w:bCs/>
          <w:color w:val="auto"/>
          <w:highlight w:val="none"/>
        </w:rPr>
        <w:t>（本项目最终签订的合同由合同双方协商后确定）</w:t>
      </w:r>
      <w:bookmarkEnd w:id="305"/>
    </w:p>
    <w:p w14:paraId="37DB017E">
      <w:pPr>
        <w:widowControl/>
        <w:shd w:val="clear" w:color="auto" w:fill="FFFFFF"/>
        <w:spacing w:line="360" w:lineRule="auto"/>
        <w:ind w:firstLine="315"/>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bCs/>
          <w:color w:val="auto"/>
          <w:highlight w:val="none"/>
        </w:rPr>
        <w:t> </w:t>
      </w:r>
    </w:p>
    <w:p w14:paraId="2370D445">
      <w:pPr>
        <w:widowControl/>
        <w:shd w:val="clear" w:color="auto" w:fill="FFFFFF"/>
        <w:spacing w:line="360" w:lineRule="auto"/>
        <w:rPr>
          <w:rFonts w:hint="eastAsia" w:asciiTheme="majorEastAsia" w:hAnsiTheme="majorEastAsia" w:eastAsiaTheme="majorEastAsia" w:cstheme="majorEastAsia"/>
          <w:color w:val="auto"/>
          <w:kern w:val="0"/>
          <w:sz w:val="24"/>
          <w:szCs w:val="24"/>
          <w:highlight w:val="none"/>
        </w:rPr>
      </w:pPr>
    </w:p>
    <w:p w14:paraId="6E094F28">
      <w:pPr>
        <w:widowControl/>
        <w:shd w:val="clear" w:color="auto" w:fill="FFFFFF"/>
        <w:spacing w:line="420" w:lineRule="auto"/>
        <w:ind w:firstLine="1918"/>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
          <w:bCs/>
          <w:color w:val="auto"/>
          <w:kern w:val="0"/>
          <w:sz w:val="24"/>
          <w:szCs w:val="24"/>
          <w:highlight w:val="none"/>
        </w:rPr>
        <w:t>合同编号 ：</w:t>
      </w:r>
      <w:r>
        <w:rPr>
          <w:rFonts w:hint="eastAsia" w:asciiTheme="majorEastAsia" w:hAnsiTheme="majorEastAsia" w:eastAsiaTheme="majorEastAsia" w:cstheme="majorEastAsia"/>
          <w:b/>
          <w:bCs/>
          <w:color w:val="auto"/>
          <w:kern w:val="0"/>
          <w:sz w:val="24"/>
          <w:szCs w:val="24"/>
          <w:highlight w:val="none"/>
          <w:u w:val="single"/>
        </w:rPr>
        <w:t>          </w:t>
      </w:r>
    </w:p>
    <w:p w14:paraId="0CC687F0">
      <w:pPr>
        <w:widowControl/>
        <w:shd w:val="clear" w:color="auto" w:fill="FFFFFF"/>
        <w:spacing w:line="420" w:lineRule="auto"/>
        <w:ind w:firstLine="1918"/>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
          <w:bCs/>
          <w:color w:val="auto"/>
          <w:kern w:val="0"/>
          <w:sz w:val="24"/>
          <w:szCs w:val="24"/>
          <w:highlight w:val="none"/>
        </w:rPr>
        <w:t>项目名称 ：</w:t>
      </w:r>
      <w:r>
        <w:rPr>
          <w:rFonts w:hint="eastAsia" w:asciiTheme="majorEastAsia" w:hAnsiTheme="majorEastAsia" w:eastAsiaTheme="majorEastAsia" w:cstheme="majorEastAsia"/>
          <w:b/>
          <w:bCs/>
          <w:color w:val="auto"/>
          <w:kern w:val="0"/>
          <w:sz w:val="24"/>
          <w:szCs w:val="24"/>
          <w:highlight w:val="none"/>
          <w:u w:val="single"/>
        </w:rPr>
        <w:t>          </w:t>
      </w:r>
    </w:p>
    <w:p w14:paraId="0189A182">
      <w:pPr>
        <w:widowControl/>
        <w:shd w:val="clear" w:color="auto" w:fill="FFFFFF"/>
        <w:spacing w:line="420" w:lineRule="auto"/>
        <w:ind w:firstLine="1918"/>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
          <w:bCs/>
          <w:color w:val="auto"/>
          <w:kern w:val="0"/>
          <w:sz w:val="24"/>
          <w:szCs w:val="24"/>
          <w:highlight w:val="none"/>
        </w:rPr>
        <w:t>甲  方 ：</w:t>
      </w:r>
      <w:r>
        <w:rPr>
          <w:rFonts w:hint="eastAsia" w:asciiTheme="majorEastAsia" w:hAnsiTheme="majorEastAsia" w:eastAsiaTheme="majorEastAsia" w:cstheme="majorEastAsia"/>
          <w:b/>
          <w:bCs/>
          <w:color w:val="auto"/>
          <w:kern w:val="0"/>
          <w:sz w:val="24"/>
          <w:szCs w:val="24"/>
          <w:highlight w:val="none"/>
          <w:u w:val="single"/>
        </w:rPr>
        <w:t>          </w:t>
      </w:r>
    </w:p>
    <w:p w14:paraId="476CF826">
      <w:pPr>
        <w:widowControl/>
        <w:shd w:val="clear" w:color="auto" w:fill="FFFFFF"/>
        <w:spacing w:line="420" w:lineRule="auto"/>
        <w:ind w:firstLine="1916"/>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
          <w:bCs/>
          <w:color w:val="auto"/>
          <w:kern w:val="0"/>
          <w:sz w:val="24"/>
          <w:szCs w:val="24"/>
          <w:highlight w:val="none"/>
        </w:rPr>
        <w:t>乙  方 ：</w:t>
      </w:r>
      <w:r>
        <w:rPr>
          <w:rFonts w:hint="eastAsia" w:asciiTheme="majorEastAsia" w:hAnsiTheme="majorEastAsia" w:eastAsiaTheme="majorEastAsia" w:cstheme="majorEastAsia"/>
          <w:b/>
          <w:bCs/>
          <w:color w:val="auto"/>
          <w:kern w:val="0"/>
          <w:sz w:val="24"/>
          <w:szCs w:val="24"/>
          <w:highlight w:val="none"/>
          <w:u w:val="single"/>
        </w:rPr>
        <w:t>          </w:t>
      </w:r>
    </w:p>
    <w:p w14:paraId="4EED2B60">
      <w:pPr>
        <w:widowControl/>
        <w:shd w:val="clear" w:color="auto" w:fill="FFFFFF"/>
        <w:spacing w:line="420" w:lineRule="auto"/>
        <w:ind w:firstLine="1916"/>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
          <w:bCs/>
          <w:color w:val="auto"/>
          <w:kern w:val="0"/>
          <w:sz w:val="24"/>
          <w:szCs w:val="24"/>
          <w:highlight w:val="none"/>
        </w:rPr>
        <w:t>签订日期 ：</w:t>
      </w:r>
      <w:r>
        <w:rPr>
          <w:rFonts w:hint="eastAsia" w:asciiTheme="majorEastAsia" w:hAnsiTheme="majorEastAsia" w:eastAsiaTheme="majorEastAsia" w:cstheme="majorEastAsia"/>
          <w:b/>
          <w:bCs/>
          <w:color w:val="auto"/>
          <w:kern w:val="0"/>
          <w:sz w:val="24"/>
          <w:szCs w:val="24"/>
          <w:highlight w:val="none"/>
          <w:u w:val="single"/>
        </w:rPr>
        <w:t>          </w:t>
      </w:r>
    </w:p>
    <w:p w14:paraId="307CBD45">
      <w:pPr>
        <w:widowControl/>
        <w:shd w:val="clear" w:color="auto" w:fill="FFFFFF"/>
        <w:spacing w:line="360" w:lineRule="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w:t>
      </w:r>
      <w:r>
        <w:rPr>
          <w:rFonts w:hint="eastAsia" w:asciiTheme="majorEastAsia" w:hAnsiTheme="majorEastAsia" w:eastAsiaTheme="majorEastAsia" w:cstheme="majorEastAsia"/>
          <w:b/>
          <w:bCs/>
          <w:color w:val="auto"/>
          <w:kern w:val="0"/>
          <w:sz w:val="24"/>
          <w:szCs w:val="24"/>
          <w:highlight w:val="none"/>
        </w:rPr>
        <w:t>   </w:t>
      </w:r>
    </w:p>
    <w:p w14:paraId="05612D8A">
      <w:pPr>
        <w:widowControl/>
        <w:shd w:val="clear" w:color="auto" w:fill="FFFFFF"/>
        <w:spacing w:line="360" w:lineRule="auto"/>
        <w:ind w:firstLine="2984"/>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
          <w:bCs/>
          <w:color w:val="auto"/>
          <w:kern w:val="0"/>
          <w:sz w:val="24"/>
          <w:szCs w:val="24"/>
          <w:highlight w:val="none"/>
        </w:rPr>
        <w:t> </w:t>
      </w:r>
    </w:p>
    <w:p w14:paraId="5B96657D">
      <w:pPr>
        <w:spacing w:line="8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0"/>
          <w:sz w:val="24"/>
          <w:highlight w:val="none"/>
        </w:rPr>
        <w:br w:type="page"/>
      </w:r>
    </w:p>
    <w:p w14:paraId="59F8AB51">
      <w:pPr>
        <w:spacing w:line="360" w:lineRule="auto"/>
        <w:rPr>
          <w:rFonts w:hint="eastAsia" w:ascii="宋体" w:hAnsi="宋体"/>
          <w:color w:val="auto"/>
          <w:position w:val="-10"/>
          <w:sz w:val="24"/>
          <w:szCs w:val="24"/>
        </w:rPr>
      </w:pPr>
      <w:r>
        <w:rPr>
          <w:rFonts w:ascii="宋体" w:hAnsi="宋体"/>
          <w:color w:val="auto"/>
          <w:position w:val="-10"/>
          <w:sz w:val="24"/>
          <w:szCs w:val="24"/>
        </w:rPr>
        <w:t>项目名称：                                       项目编号：</w:t>
      </w:r>
    </w:p>
    <w:p w14:paraId="4E43EB2F">
      <w:pPr>
        <w:spacing w:line="360" w:lineRule="auto"/>
        <w:rPr>
          <w:rFonts w:hint="eastAsia" w:ascii="宋体" w:hAnsi="宋体"/>
          <w:color w:val="auto"/>
          <w:position w:val="-10"/>
          <w:sz w:val="24"/>
          <w:szCs w:val="24"/>
        </w:rPr>
      </w:pPr>
      <w:r>
        <w:rPr>
          <w:rFonts w:ascii="宋体" w:hAnsi="宋体"/>
          <w:color w:val="auto"/>
          <w:position w:val="-10"/>
          <w:sz w:val="24"/>
          <w:szCs w:val="24"/>
        </w:rPr>
        <w:t>甲方：（买方）_________</w:t>
      </w:r>
    </w:p>
    <w:p w14:paraId="09C17BE9">
      <w:pPr>
        <w:spacing w:line="360" w:lineRule="auto"/>
        <w:rPr>
          <w:rFonts w:hint="eastAsia" w:ascii="宋体" w:hAnsi="宋体"/>
          <w:color w:val="auto"/>
          <w:position w:val="-10"/>
          <w:sz w:val="24"/>
          <w:szCs w:val="24"/>
        </w:rPr>
      </w:pPr>
      <w:r>
        <w:rPr>
          <w:rFonts w:ascii="宋体" w:hAnsi="宋体"/>
          <w:color w:val="auto"/>
          <w:position w:val="-10"/>
          <w:sz w:val="24"/>
          <w:szCs w:val="24"/>
        </w:rPr>
        <w:t>乙方：（卖方）_________</w:t>
      </w:r>
    </w:p>
    <w:p w14:paraId="28FEAAC1">
      <w:pPr>
        <w:spacing w:line="360" w:lineRule="auto"/>
        <w:rPr>
          <w:rFonts w:hint="eastAsia" w:ascii="宋体" w:hAnsi="宋体"/>
          <w:color w:val="auto"/>
          <w:position w:val="-10"/>
          <w:sz w:val="24"/>
          <w:szCs w:val="24"/>
        </w:rPr>
      </w:pPr>
      <w:r>
        <w:rPr>
          <w:rFonts w:ascii="宋体" w:hAnsi="宋体"/>
          <w:color w:val="auto"/>
          <w:position w:val="-10"/>
          <w:sz w:val="24"/>
          <w:szCs w:val="24"/>
        </w:rPr>
        <w:t xml:space="preserve">   甲、乙双方根据江苏</w:t>
      </w:r>
      <w:r>
        <w:rPr>
          <w:rFonts w:hint="eastAsia" w:ascii="宋体" w:hAnsi="宋体"/>
          <w:color w:val="auto"/>
          <w:position w:val="-10"/>
          <w:sz w:val="24"/>
          <w:szCs w:val="24"/>
          <w:lang w:val="en-US" w:eastAsia="zh-CN"/>
        </w:rPr>
        <w:t>政府采购网</w:t>
      </w:r>
      <w:r>
        <w:rPr>
          <w:rFonts w:ascii="宋体" w:hAnsi="宋体"/>
          <w:color w:val="auto"/>
          <w:position w:val="-10"/>
          <w:sz w:val="24"/>
          <w:szCs w:val="24"/>
          <w:u w:val="single"/>
        </w:rPr>
        <w:t xml:space="preserve">         </w:t>
      </w:r>
      <w:r>
        <w:rPr>
          <w:rFonts w:ascii="宋体" w:hAnsi="宋体"/>
          <w:color w:val="auto"/>
          <w:position w:val="-10"/>
          <w:sz w:val="24"/>
          <w:szCs w:val="24"/>
        </w:rPr>
        <w:t>项目</w:t>
      </w:r>
      <w:r>
        <w:rPr>
          <w:rFonts w:hint="eastAsia" w:ascii="宋体" w:hAnsi="宋体"/>
          <w:color w:val="auto"/>
          <w:position w:val="-10"/>
          <w:sz w:val="24"/>
          <w:szCs w:val="24"/>
          <w:lang w:val="en-US" w:eastAsia="zh-CN"/>
        </w:rPr>
        <w:t>招标文件</w:t>
      </w:r>
      <w:r>
        <w:rPr>
          <w:rFonts w:ascii="宋体" w:hAnsi="宋体"/>
          <w:color w:val="auto"/>
          <w:position w:val="-10"/>
          <w:sz w:val="24"/>
          <w:szCs w:val="24"/>
        </w:rPr>
        <w:t>的结果，签署本合同。</w:t>
      </w:r>
    </w:p>
    <w:p w14:paraId="2C58DE67">
      <w:pPr>
        <w:spacing w:line="360" w:lineRule="auto"/>
        <w:ind w:firstLine="353"/>
        <w:rPr>
          <w:rFonts w:hint="eastAsia" w:ascii="宋体" w:hAnsi="宋体"/>
          <w:color w:val="auto"/>
          <w:position w:val="-10"/>
          <w:sz w:val="24"/>
          <w:szCs w:val="24"/>
        </w:rPr>
      </w:pPr>
      <w:r>
        <w:rPr>
          <w:rFonts w:ascii="宋体" w:hAnsi="宋体"/>
          <w:color w:val="auto"/>
          <w:position w:val="-10"/>
          <w:sz w:val="24"/>
          <w:szCs w:val="24"/>
        </w:rPr>
        <w:t>一、采购标的</w:t>
      </w:r>
    </w:p>
    <w:p w14:paraId="260D3655">
      <w:pPr>
        <w:spacing w:line="360" w:lineRule="auto"/>
        <w:ind w:firstLine="360"/>
        <w:rPr>
          <w:rFonts w:hint="eastAsia" w:ascii="宋体" w:hAnsi="宋体"/>
          <w:color w:val="auto"/>
          <w:position w:val="-10"/>
          <w:sz w:val="24"/>
          <w:szCs w:val="24"/>
          <w:u w:val="single"/>
        </w:rPr>
      </w:pPr>
      <w:r>
        <w:rPr>
          <w:rFonts w:ascii="宋体" w:hAnsi="宋体"/>
          <w:color w:val="auto"/>
          <w:position w:val="-10"/>
          <w:sz w:val="24"/>
          <w:szCs w:val="24"/>
        </w:rPr>
        <w:t>1.1 产品/服务内容：</w:t>
      </w:r>
      <w:r>
        <w:rPr>
          <w:rFonts w:ascii="宋体" w:hAnsi="宋体"/>
          <w:color w:val="auto"/>
          <w:position w:val="-10"/>
          <w:sz w:val="24"/>
          <w:szCs w:val="24"/>
          <w:u w:val="single"/>
        </w:rPr>
        <w:t xml:space="preserve">                                         </w:t>
      </w:r>
      <w:r>
        <w:rPr>
          <w:rFonts w:ascii="宋体" w:hAnsi="宋体"/>
          <w:color w:val="auto"/>
          <w:position w:val="-10"/>
          <w:sz w:val="24"/>
          <w:szCs w:val="24"/>
        </w:rPr>
        <w:t>。</w:t>
      </w:r>
    </w:p>
    <w:p w14:paraId="7407B5B5">
      <w:pPr>
        <w:spacing w:line="360" w:lineRule="auto"/>
        <w:ind w:firstLine="360"/>
        <w:rPr>
          <w:rFonts w:hint="eastAsia" w:ascii="宋体" w:hAnsi="宋体"/>
          <w:color w:val="auto"/>
          <w:position w:val="-10"/>
          <w:sz w:val="24"/>
          <w:szCs w:val="24"/>
          <w:u w:val="single"/>
        </w:rPr>
      </w:pPr>
      <w:r>
        <w:rPr>
          <w:rFonts w:ascii="宋体" w:hAnsi="宋体"/>
          <w:color w:val="auto"/>
          <w:position w:val="-10"/>
          <w:sz w:val="24"/>
          <w:szCs w:val="24"/>
        </w:rPr>
        <w:t xml:space="preserve">1.2 </w:t>
      </w:r>
      <w:r>
        <w:rPr>
          <w:rFonts w:hint="eastAsia" w:ascii="宋体" w:hAnsi="宋体"/>
          <w:color w:val="auto"/>
          <w:position w:val="-10"/>
          <w:sz w:val="24"/>
          <w:szCs w:val="24"/>
          <w:lang w:val="en-US" w:eastAsia="zh-CN"/>
        </w:rPr>
        <w:t>服务</w:t>
      </w:r>
      <w:r>
        <w:rPr>
          <w:rFonts w:ascii="宋体" w:hAnsi="宋体"/>
          <w:color w:val="auto"/>
          <w:position w:val="-10"/>
          <w:sz w:val="24"/>
          <w:szCs w:val="24"/>
        </w:rPr>
        <w:t>期限：</w:t>
      </w:r>
      <w:r>
        <w:rPr>
          <w:rFonts w:ascii="宋体" w:hAnsi="宋体"/>
          <w:color w:val="auto"/>
          <w:position w:val="-10"/>
          <w:sz w:val="24"/>
          <w:szCs w:val="24"/>
          <w:u w:val="single"/>
        </w:rPr>
        <w:t xml:space="preserve">                                              </w:t>
      </w:r>
      <w:r>
        <w:rPr>
          <w:rFonts w:ascii="宋体" w:hAnsi="宋体"/>
          <w:color w:val="auto"/>
          <w:position w:val="-10"/>
          <w:sz w:val="24"/>
          <w:szCs w:val="24"/>
        </w:rPr>
        <w:t>。</w:t>
      </w:r>
    </w:p>
    <w:p w14:paraId="37B3545F">
      <w:pPr>
        <w:spacing w:line="360" w:lineRule="auto"/>
        <w:ind w:firstLine="360"/>
        <w:rPr>
          <w:rFonts w:hint="eastAsia" w:ascii="宋体" w:hAnsi="宋体"/>
          <w:color w:val="auto"/>
          <w:position w:val="-10"/>
          <w:sz w:val="24"/>
          <w:szCs w:val="24"/>
          <w:u w:val="single"/>
        </w:rPr>
      </w:pPr>
      <w:r>
        <w:rPr>
          <w:rFonts w:ascii="宋体" w:hAnsi="宋体"/>
          <w:color w:val="auto"/>
          <w:position w:val="-10"/>
          <w:sz w:val="24"/>
          <w:szCs w:val="24"/>
        </w:rPr>
        <w:t>1.3 补充条款：</w:t>
      </w:r>
      <w:r>
        <w:rPr>
          <w:rFonts w:ascii="宋体" w:hAnsi="宋体"/>
          <w:color w:val="auto"/>
          <w:position w:val="-10"/>
          <w:sz w:val="24"/>
          <w:szCs w:val="24"/>
          <w:u w:val="single"/>
        </w:rPr>
        <w:t xml:space="preserve">                                              </w:t>
      </w:r>
      <w:r>
        <w:rPr>
          <w:rFonts w:ascii="宋体" w:hAnsi="宋体"/>
          <w:color w:val="auto"/>
          <w:position w:val="-10"/>
          <w:sz w:val="24"/>
          <w:szCs w:val="24"/>
        </w:rPr>
        <w:t>。</w:t>
      </w:r>
    </w:p>
    <w:p w14:paraId="5F210FF7">
      <w:pPr>
        <w:spacing w:line="360" w:lineRule="auto"/>
        <w:ind w:firstLine="353"/>
        <w:rPr>
          <w:rFonts w:hint="eastAsia" w:ascii="宋体" w:hAnsi="宋体"/>
          <w:color w:val="auto"/>
          <w:position w:val="-10"/>
          <w:sz w:val="24"/>
          <w:szCs w:val="24"/>
        </w:rPr>
      </w:pPr>
      <w:r>
        <w:rPr>
          <w:rFonts w:ascii="宋体" w:hAnsi="宋体"/>
          <w:color w:val="auto"/>
          <w:position w:val="-10"/>
          <w:sz w:val="24"/>
          <w:szCs w:val="24"/>
        </w:rPr>
        <w:t>二、合同金额</w:t>
      </w:r>
    </w:p>
    <w:p w14:paraId="3179DFE5">
      <w:pPr>
        <w:spacing w:line="360" w:lineRule="auto"/>
        <w:ind w:left="407" w:hanging="48"/>
        <w:rPr>
          <w:rFonts w:hint="eastAsia" w:ascii="宋体" w:hAnsi="宋体"/>
          <w:color w:val="auto"/>
          <w:position w:val="-10"/>
          <w:sz w:val="24"/>
          <w:szCs w:val="24"/>
        </w:rPr>
      </w:pPr>
      <w:r>
        <w:rPr>
          <w:rFonts w:ascii="宋体" w:hAnsi="宋体"/>
          <w:color w:val="auto"/>
          <w:position w:val="-10"/>
          <w:sz w:val="24"/>
          <w:szCs w:val="24"/>
        </w:rPr>
        <w:t>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p>
    <w:p w14:paraId="27131668">
      <w:pPr>
        <w:spacing w:line="360" w:lineRule="auto"/>
        <w:ind w:firstLine="353"/>
        <w:rPr>
          <w:rFonts w:hint="eastAsia" w:ascii="宋体" w:hAnsi="宋体"/>
          <w:color w:val="auto"/>
          <w:position w:val="-10"/>
          <w:sz w:val="24"/>
          <w:szCs w:val="24"/>
        </w:rPr>
      </w:pPr>
      <w:r>
        <w:rPr>
          <w:rFonts w:ascii="宋体" w:hAnsi="宋体"/>
          <w:color w:val="auto"/>
          <w:position w:val="-10"/>
          <w:sz w:val="24"/>
          <w:szCs w:val="24"/>
        </w:rPr>
        <w:t>三、技术资料</w:t>
      </w:r>
    </w:p>
    <w:p w14:paraId="46240FAF">
      <w:pPr>
        <w:spacing w:line="360" w:lineRule="auto"/>
        <w:ind w:left="359"/>
        <w:rPr>
          <w:rFonts w:hint="eastAsia" w:ascii="宋体" w:hAnsi="宋体"/>
          <w:color w:val="auto"/>
          <w:position w:val="-10"/>
          <w:sz w:val="24"/>
          <w:szCs w:val="24"/>
        </w:rPr>
      </w:pPr>
      <w:r>
        <w:rPr>
          <w:rFonts w:ascii="宋体" w:hAnsi="宋体"/>
          <w:color w:val="auto"/>
          <w:position w:val="-10"/>
          <w:sz w:val="24"/>
          <w:szCs w:val="24"/>
        </w:rPr>
        <w:t>3.1乙方应按</w:t>
      </w:r>
      <w:r>
        <w:rPr>
          <w:rFonts w:hint="eastAsia" w:ascii="宋体" w:hAnsi="宋体"/>
          <w:color w:val="auto"/>
          <w:position w:val="-10"/>
          <w:sz w:val="24"/>
          <w:szCs w:val="24"/>
          <w:lang w:val="en-US" w:eastAsia="zh-CN"/>
        </w:rPr>
        <w:t>招标</w:t>
      </w:r>
      <w:r>
        <w:rPr>
          <w:rFonts w:ascii="宋体" w:hAnsi="宋体"/>
          <w:color w:val="auto"/>
          <w:position w:val="-10"/>
          <w:sz w:val="24"/>
          <w:szCs w:val="24"/>
        </w:rPr>
        <w:t>文件规定的时间向甲方提供有关技术资料。</w:t>
      </w:r>
    </w:p>
    <w:p w14:paraId="504D84E0">
      <w:pPr>
        <w:spacing w:line="360" w:lineRule="auto"/>
        <w:ind w:left="407" w:hanging="48"/>
        <w:rPr>
          <w:rFonts w:hint="eastAsia" w:ascii="宋体" w:hAnsi="宋体"/>
          <w:color w:val="auto"/>
          <w:position w:val="-10"/>
          <w:sz w:val="24"/>
          <w:szCs w:val="24"/>
        </w:rPr>
      </w:pPr>
      <w:r>
        <w:rPr>
          <w:rFonts w:ascii="宋体" w:hAnsi="宋体"/>
          <w:color w:val="auto"/>
          <w:position w:val="-1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1F059FF">
      <w:pPr>
        <w:spacing w:line="360" w:lineRule="auto"/>
        <w:ind w:left="409" w:hanging="50"/>
        <w:rPr>
          <w:rFonts w:hint="eastAsia" w:ascii="宋体" w:hAnsi="宋体"/>
          <w:color w:val="auto"/>
          <w:position w:val="-10"/>
          <w:sz w:val="24"/>
          <w:szCs w:val="24"/>
        </w:rPr>
      </w:pPr>
      <w:r>
        <w:rPr>
          <w:rFonts w:ascii="宋体" w:hAnsi="宋体"/>
          <w:color w:val="auto"/>
          <w:position w:val="-10"/>
          <w:sz w:val="24"/>
          <w:szCs w:val="24"/>
        </w:rPr>
        <w:t>四、知识产权</w:t>
      </w:r>
    </w:p>
    <w:p w14:paraId="468023AD">
      <w:pPr>
        <w:spacing w:line="360" w:lineRule="auto"/>
        <w:ind w:firstLine="360"/>
        <w:rPr>
          <w:rFonts w:hint="eastAsia" w:ascii="宋体" w:hAnsi="宋体"/>
          <w:color w:val="auto"/>
          <w:position w:val="-10"/>
          <w:sz w:val="24"/>
          <w:szCs w:val="24"/>
        </w:rPr>
      </w:pPr>
      <w:r>
        <w:rPr>
          <w:rFonts w:ascii="宋体" w:hAnsi="宋体"/>
          <w:color w:val="auto"/>
          <w:position w:val="-10"/>
          <w:sz w:val="24"/>
          <w:szCs w:val="24"/>
        </w:rPr>
        <w:t>乙</w:t>
      </w:r>
      <w:r>
        <w:rPr>
          <w:rFonts w:hint="eastAsia" w:ascii="宋体" w:hAnsi="宋体"/>
          <w:color w:val="auto"/>
          <w:position w:val="-10"/>
          <w:sz w:val="24"/>
          <w:szCs w:val="24"/>
        </w:rPr>
        <w:t>方应保证甲方在使用、接受本合同</w:t>
      </w:r>
      <w:r>
        <w:rPr>
          <w:rFonts w:ascii="宋体" w:hAnsi="宋体"/>
          <w:color w:val="auto"/>
          <w:position w:val="-10"/>
          <w:sz w:val="24"/>
          <w:szCs w:val="24"/>
        </w:rPr>
        <w:t>中产品和服务</w:t>
      </w:r>
      <w:r>
        <w:rPr>
          <w:rFonts w:hint="eastAsia" w:ascii="宋体" w:hAnsi="宋体"/>
          <w:color w:val="auto"/>
          <w:position w:val="-10"/>
          <w:sz w:val="24"/>
          <w:szCs w:val="24"/>
        </w:rPr>
        <w:t>或其任何一部分时不受第三方提出侵犯其专利权、版权、商标权和工业设计权等知识产权的起诉。一旦出现侵权，由乙方负全部责任。</w:t>
      </w:r>
    </w:p>
    <w:p w14:paraId="137FFE34">
      <w:pPr>
        <w:spacing w:line="360" w:lineRule="auto"/>
        <w:ind w:firstLine="353"/>
        <w:rPr>
          <w:rFonts w:hint="eastAsia" w:ascii="宋体" w:hAnsi="宋体"/>
          <w:color w:val="auto"/>
          <w:position w:val="-10"/>
          <w:sz w:val="24"/>
          <w:szCs w:val="24"/>
          <w:u w:val="single"/>
        </w:rPr>
      </w:pPr>
      <w:r>
        <w:rPr>
          <w:rFonts w:ascii="宋体" w:hAnsi="宋体"/>
          <w:color w:val="auto"/>
          <w:position w:val="-10"/>
          <w:sz w:val="24"/>
          <w:szCs w:val="24"/>
        </w:rPr>
        <w:t>五、产权担保</w:t>
      </w:r>
    </w:p>
    <w:p w14:paraId="51950AA2">
      <w:pPr>
        <w:spacing w:line="360" w:lineRule="auto"/>
        <w:ind w:left="407" w:hanging="48"/>
        <w:rPr>
          <w:rFonts w:hint="eastAsia" w:ascii="宋体" w:hAnsi="宋体"/>
          <w:color w:val="auto"/>
          <w:position w:val="-10"/>
          <w:sz w:val="24"/>
          <w:szCs w:val="24"/>
          <w:u w:val="single"/>
        </w:rPr>
      </w:pPr>
      <w:r>
        <w:rPr>
          <w:rFonts w:ascii="宋体" w:hAnsi="宋体"/>
          <w:color w:val="auto"/>
          <w:position w:val="-10"/>
          <w:sz w:val="24"/>
          <w:szCs w:val="24"/>
        </w:rPr>
        <w:t>乙方保证所交付标的的所有权完全属于乙方且无任何抵押、查封等产权瑕疵。</w:t>
      </w:r>
    </w:p>
    <w:p w14:paraId="0E5BEFEB">
      <w:pPr>
        <w:spacing w:line="360" w:lineRule="auto"/>
        <w:ind w:left="407" w:hanging="48"/>
        <w:rPr>
          <w:rFonts w:hint="eastAsia" w:ascii="宋体" w:hAnsi="宋体"/>
          <w:color w:val="auto"/>
          <w:position w:val="-10"/>
          <w:sz w:val="24"/>
          <w:szCs w:val="24"/>
        </w:rPr>
      </w:pPr>
      <w:r>
        <w:rPr>
          <w:rFonts w:ascii="宋体" w:hAnsi="宋体"/>
          <w:color w:val="auto"/>
          <w:position w:val="-10"/>
          <w:sz w:val="24"/>
          <w:szCs w:val="24"/>
        </w:rPr>
        <w:t>六、履约保证金</w:t>
      </w:r>
    </w:p>
    <w:p w14:paraId="229D2534">
      <w:pPr>
        <w:pStyle w:val="39"/>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center"/>
        <w:rPr>
          <w:rFonts w:hint="eastAsia" w:ascii="宋体" w:hAnsi="宋体" w:eastAsia="宋体" w:cs="Times New Roman"/>
          <w:color w:val="auto"/>
          <w:position w:val="-10"/>
          <w:sz w:val="24"/>
          <w:szCs w:val="24"/>
          <w:lang w:val="en-US" w:eastAsia="zh-CN" w:bidi="ar-SA"/>
        </w:rPr>
      </w:pPr>
      <w:r>
        <w:rPr>
          <w:rFonts w:hint="eastAsia" w:ascii="宋体" w:hAnsi="宋体" w:eastAsia="宋体" w:cs="Times New Roman"/>
          <w:color w:val="auto"/>
          <w:position w:val="-10"/>
          <w:sz w:val="24"/>
          <w:szCs w:val="24"/>
          <w:lang w:val="en-US" w:eastAsia="zh-CN" w:bidi="ar-SA"/>
        </w:rPr>
        <w:t>1.履约保证金形式:  支票、汇票、本票、履约担保、银行电汇或网上银行支付或银行保函等法律法规允许的非现金形式</w:t>
      </w:r>
    </w:p>
    <w:p w14:paraId="663119B2">
      <w:pPr>
        <w:pStyle w:val="39"/>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center"/>
        <w:rPr>
          <w:rFonts w:hint="eastAsia" w:ascii="宋体" w:hAnsi="宋体" w:eastAsia="宋体" w:cs="Times New Roman"/>
          <w:color w:val="auto"/>
          <w:position w:val="-10"/>
          <w:sz w:val="24"/>
          <w:szCs w:val="24"/>
          <w:lang w:val="en-US" w:eastAsia="zh-CN" w:bidi="ar-SA"/>
        </w:rPr>
      </w:pPr>
      <w:r>
        <w:rPr>
          <w:rFonts w:hint="eastAsia" w:ascii="宋体" w:hAnsi="宋体" w:eastAsia="宋体" w:cs="Times New Roman"/>
          <w:color w:val="auto"/>
          <w:position w:val="-10"/>
          <w:sz w:val="24"/>
          <w:szCs w:val="24"/>
          <w:lang w:val="en-US" w:eastAsia="zh-CN" w:bidi="ar-SA"/>
        </w:rPr>
        <w:t>2.金额：合同价的10%</w:t>
      </w:r>
    </w:p>
    <w:p w14:paraId="5FFC3CBC">
      <w:pPr>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eastAsia="宋体" w:cs="Times New Roman"/>
          <w:color w:val="auto"/>
          <w:position w:val="-10"/>
          <w:sz w:val="24"/>
          <w:szCs w:val="24"/>
          <w:lang w:val="en-US" w:eastAsia="zh-CN" w:bidi="ar-SA"/>
        </w:rPr>
      </w:pPr>
      <w:r>
        <w:rPr>
          <w:rFonts w:hint="eastAsia" w:ascii="宋体" w:hAnsi="宋体" w:eastAsia="宋体" w:cs="Times New Roman"/>
          <w:color w:val="auto"/>
          <w:position w:val="-10"/>
          <w:sz w:val="24"/>
          <w:szCs w:val="24"/>
          <w:lang w:val="en-US" w:eastAsia="zh-CN" w:bidi="ar-SA"/>
        </w:rPr>
        <w:t>3.缴纳时间：在确定成交投标人之后,签订采购合同前。</w:t>
      </w:r>
    </w:p>
    <w:p w14:paraId="4C7CC048">
      <w:pPr>
        <w:keepNext w:val="0"/>
        <w:keepLines w:val="0"/>
        <w:pageBreakBefore w:val="0"/>
        <w:kinsoku/>
        <w:wordWrap/>
        <w:overflowPunct/>
        <w:topLinePunct w:val="0"/>
        <w:autoSpaceDE/>
        <w:autoSpaceDN/>
        <w:bidi w:val="0"/>
        <w:adjustRightInd/>
        <w:snapToGrid/>
        <w:spacing w:line="500" w:lineRule="exact"/>
        <w:ind w:firstLine="480" w:firstLineChars="200"/>
        <w:rPr>
          <w:rFonts w:hint="eastAsia" w:ascii="宋体" w:hAnsi="宋体"/>
          <w:color w:val="auto"/>
          <w:position w:val="-10"/>
          <w:sz w:val="24"/>
          <w:szCs w:val="24"/>
        </w:rPr>
      </w:pPr>
      <w:r>
        <w:rPr>
          <w:rFonts w:ascii="宋体" w:hAnsi="宋体"/>
          <w:color w:val="auto"/>
          <w:position w:val="-10"/>
          <w:sz w:val="24"/>
          <w:szCs w:val="24"/>
        </w:rPr>
        <w:t>七、转包或分包</w:t>
      </w:r>
    </w:p>
    <w:p w14:paraId="07B69C3B">
      <w:pPr>
        <w:spacing w:line="360" w:lineRule="auto"/>
        <w:ind w:firstLine="360"/>
        <w:rPr>
          <w:rFonts w:hint="eastAsia" w:ascii="宋体" w:hAnsi="宋体"/>
          <w:color w:val="auto"/>
          <w:position w:val="-10"/>
          <w:sz w:val="24"/>
          <w:szCs w:val="24"/>
        </w:rPr>
      </w:pPr>
      <w:r>
        <w:rPr>
          <w:rFonts w:ascii="宋体" w:hAnsi="宋体"/>
          <w:color w:val="auto"/>
          <w:position w:val="-10"/>
          <w:sz w:val="24"/>
          <w:szCs w:val="24"/>
        </w:rPr>
        <w:t>7.1</w:t>
      </w:r>
      <w:r>
        <w:rPr>
          <w:rFonts w:hint="eastAsia" w:ascii="宋体" w:hAnsi="宋体"/>
          <w:color w:val="auto"/>
          <w:position w:val="-10"/>
          <w:sz w:val="24"/>
          <w:szCs w:val="24"/>
        </w:rPr>
        <w:t>本合同范围内产品或服务，应由乙方直接供应，不得转让他人供应；</w:t>
      </w:r>
    </w:p>
    <w:p w14:paraId="79C1AA7C">
      <w:pPr>
        <w:spacing w:line="360" w:lineRule="auto"/>
        <w:ind w:firstLine="360"/>
        <w:rPr>
          <w:rFonts w:hint="eastAsia" w:ascii="宋体" w:hAnsi="宋体"/>
          <w:color w:val="auto"/>
          <w:position w:val="-10"/>
          <w:sz w:val="24"/>
          <w:szCs w:val="24"/>
        </w:rPr>
      </w:pPr>
      <w:r>
        <w:rPr>
          <w:rFonts w:ascii="宋体" w:hAnsi="宋体"/>
          <w:color w:val="auto"/>
          <w:position w:val="-10"/>
          <w:sz w:val="24"/>
          <w:szCs w:val="24"/>
        </w:rPr>
        <w:t xml:space="preserve">7.2 </w:t>
      </w:r>
      <w:r>
        <w:rPr>
          <w:rFonts w:hint="eastAsia" w:ascii="宋体" w:hAnsi="宋体"/>
          <w:color w:val="auto"/>
          <w:position w:val="-10"/>
          <w:sz w:val="24"/>
          <w:szCs w:val="24"/>
        </w:rPr>
        <w:t>除非得到甲方的书面同意，乙方不得部分分包给他人供应。</w:t>
      </w:r>
    </w:p>
    <w:p w14:paraId="589C7A98">
      <w:pPr>
        <w:spacing w:line="360" w:lineRule="auto"/>
        <w:ind w:firstLine="360"/>
        <w:rPr>
          <w:rFonts w:hint="eastAsia" w:ascii="宋体" w:hAnsi="宋体"/>
          <w:color w:val="auto"/>
          <w:position w:val="-10"/>
          <w:sz w:val="24"/>
          <w:szCs w:val="24"/>
        </w:rPr>
      </w:pPr>
      <w:r>
        <w:rPr>
          <w:rFonts w:ascii="宋体" w:hAnsi="宋体"/>
          <w:color w:val="auto"/>
          <w:position w:val="-10"/>
          <w:sz w:val="24"/>
          <w:szCs w:val="24"/>
        </w:rPr>
        <w:t>7.3</w:t>
      </w:r>
      <w:r>
        <w:rPr>
          <w:rFonts w:hint="eastAsia" w:ascii="宋体" w:hAnsi="宋体"/>
          <w:color w:val="auto"/>
          <w:position w:val="-10"/>
          <w:sz w:val="24"/>
          <w:szCs w:val="24"/>
        </w:rPr>
        <w:t xml:space="preserve">如有转让和未经甲方同意的分包行为，甲方有权给予终止合同。 </w:t>
      </w:r>
    </w:p>
    <w:p w14:paraId="60238832">
      <w:pPr>
        <w:spacing w:line="360" w:lineRule="auto"/>
        <w:ind w:firstLine="353"/>
        <w:rPr>
          <w:rFonts w:hint="eastAsia" w:ascii="宋体" w:hAnsi="宋体"/>
          <w:color w:val="auto"/>
          <w:position w:val="-10"/>
          <w:sz w:val="24"/>
          <w:szCs w:val="24"/>
        </w:rPr>
      </w:pPr>
      <w:r>
        <w:rPr>
          <w:rFonts w:ascii="宋体" w:hAnsi="宋体"/>
          <w:color w:val="auto"/>
          <w:position w:val="-10"/>
          <w:sz w:val="24"/>
          <w:szCs w:val="24"/>
        </w:rPr>
        <w:t>八、质保期</w:t>
      </w:r>
    </w:p>
    <w:p w14:paraId="6B539114">
      <w:pPr>
        <w:spacing w:line="360" w:lineRule="auto"/>
        <w:ind w:firstLine="240"/>
        <w:rPr>
          <w:rFonts w:hint="eastAsia" w:ascii="宋体" w:hAnsi="宋体"/>
          <w:color w:val="auto"/>
          <w:position w:val="-10"/>
          <w:sz w:val="24"/>
          <w:szCs w:val="24"/>
        </w:rPr>
      </w:pPr>
      <w:r>
        <w:rPr>
          <w:rFonts w:ascii="宋体" w:hAnsi="宋体"/>
          <w:color w:val="auto"/>
          <w:position w:val="-10"/>
          <w:sz w:val="24"/>
          <w:szCs w:val="24"/>
        </w:rPr>
        <w:t xml:space="preserve"> 质保期</w:t>
      </w:r>
      <w:r>
        <w:rPr>
          <w:rFonts w:ascii="宋体" w:hAnsi="宋体"/>
          <w:color w:val="auto"/>
          <w:position w:val="-10"/>
          <w:sz w:val="24"/>
          <w:szCs w:val="24"/>
          <w:u w:val="single"/>
        </w:rPr>
        <w:t xml:space="preserve">      </w:t>
      </w:r>
      <w:r>
        <w:rPr>
          <w:rFonts w:ascii="宋体" w:hAnsi="宋体"/>
          <w:color w:val="auto"/>
          <w:position w:val="-10"/>
          <w:sz w:val="24"/>
          <w:szCs w:val="24"/>
        </w:rPr>
        <w:t>年。（自项目验收合格之日起计）</w:t>
      </w:r>
    </w:p>
    <w:p w14:paraId="3039EE0F">
      <w:pPr>
        <w:spacing w:line="360" w:lineRule="auto"/>
        <w:ind w:firstLine="353"/>
        <w:rPr>
          <w:rFonts w:hint="eastAsia" w:ascii="宋体" w:hAnsi="宋体"/>
          <w:color w:val="auto"/>
          <w:position w:val="-10"/>
          <w:sz w:val="24"/>
          <w:szCs w:val="24"/>
        </w:rPr>
      </w:pPr>
      <w:r>
        <w:rPr>
          <w:rFonts w:ascii="宋体" w:hAnsi="宋体"/>
          <w:color w:val="auto"/>
          <w:position w:val="-10"/>
          <w:sz w:val="24"/>
          <w:szCs w:val="24"/>
        </w:rPr>
        <w:t>九、交付期、交付方式及交付地点</w:t>
      </w:r>
    </w:p>
    <w:p w14:paraId="18EC596C">
      <w:pPr>
        <w:spacing w:line="360" w:lineRule="auto"/>
        <w:ind w:firstLine="360"/>
        <w:rPr>
          <w:rFonts w:hint="eastAsia" w:ascii="宋体" w:hAnsi="宋体"/>
          <w:color w:val="auto"/>
          <w:position w:val="-10"/>
          <w:sz w:val="24"/>
          <w:szCs w:val="24"/>
        </w:rPr>
      </w:pPr>
      <w:r>
        <w:rPr>
          <w:rFonts w:ascii="宋体" w:hAnsi="宋体"/>
          <w:color w:val="auto"/>
          <w:position w:val="-10"/>
          <w:sz w:val="24"/>
          <w:szCs w:val="24"/>
        </w:rPr>
        <w:t xml:space="preserve">9.1交付期：_________。   </w:t>
      </w:r>
      <w:r>
        <w:rPr>
          <w:rFonts w:ascii="宋体" w:hAnsi="宋体"/>
          <w:color w:val="auto"/>
          <w:position w:val="-10"/>
          <w:sz w:val="24"/>
          <w:szCs w:val="24"/>
        </w:rPr>
        <w:t>9.2交付方式：</w:t>
      </w:r>
      <w:r>
        <w:rPr>
          <w:rFonts w:ascii="宋体" w:hAnsi="宋体"/>
          <w:color w:val="auto"/>
          <w:position w:val="-10"/>
          <w:sz w:val="24"/>
          <w:szCs w:val="24"/>
        </w:rPr>
        <w:t>_________。</w:t>
      </w:r>
      <w:r>
        <w:rPr>
          <w:rFonts w:ascii="宋体" w:hAnsi="宋体"/>
          <w:color w:val="auto"/>
          <w:position w:val="-10"/>
          <w:sz w:val="24"/>
          <w:szCs w:val="24"/>
        </w:rPr>
        <w:t>9.3交付地点：</w:t>
      </w:r>
      <w:r>
        <w:rPr>
          <w:rFonts w:ascii="宋体" w:hAnsi="宋体"/>
          <w:color w:val="auto"/>
          <w:position w:val="-10"/>
          <w:sz w:val="24"/>
          <w:szCs w:val="24"/>
        </w:rPr>
        <w:t>_________。</w:t>
      </w:r>
    </w:p>
    <w:p w14:paraId="31AECA2A">
      <w:pPr>
        <w:spacing w:line="360" w:lineRule="auto"/>
        <w:ind w:firstLine="353"/>
        <w:rPr>
          <w:rFonts w:hint="eastAsia" w:ascii="宋体" w:hAnsi="宋体"/>
          <w:color w:val="auto"/>
          <w:position w:val="-10"/>
          <w:sz w:val="24"/>
          <w:szCs w:val="24"/>
        </w:rPr>
      </w:pPr>
      <w:r>
        <w:rPr>
          <w:rFonts w:ascii="宋体" w:hAnsi="宋体"/>
          <w:color w:val="auto"/>
          <w:position w:val="-10"/>
          <w:sz w:val="24"/>
          <w:szCs w:val="24"/>
        </w:rPr>
        <w:t>十、合同款支付</w:t>
      </w:r>
    </w:p>
    <w:p w14:paraId="3C9BD7F5">
      <w:pPr>
        <w:spacing w:line="360" w:lineRule="auto"/>
        <w:ind w:firstLine="240"/>
        <w:rPr>
          <w:rFonts w:hint="eastAsia" w:ascii="宋体" w:hAnsi="宋体"/>
          <w:color w:val="auto"/>
          <w:position w:val="-10"/>
          <w:sz w:val="24"/>
          <w:szCs w:val="24"/>
        </w:rPr>
      </w:pPr>
      <w:r>
        <w:rPr>
          <w:rFonts w:ascii="宋体" w:hAnsi="宋体"/>
          <w:color w:val="auto"/>
          <w:position w:val="-10"/>
          <w:sz w:val="24"/>
          <w:szCs w:val="24"/>
        </w:rPr>
        <w:t xml:space="preserve"> 10.1</w:t>
      </w:r>
      <w:r>
        <w:rPr>
          <w:rFonts w:ascii="宋体" w:hAnsi="宋体"/>
          <w:color w:val="auto"/>
          <w:position w:val="-10"/>
          <w:sz w:val="24"/>
          <w:szCs w:val="24"/>
        </w:rPr>
        <w:t>付款方式：</w:t>
      </w:r>
      <w:r>
        <w:rPr>
          <w:rFonts w:ascii="宋体" w:hAnsi="宋体"/>
          <w:color w:val="auto"/>
          <w:position w:val="-10"/>
          <w:sz w:val="24"/>
          <w:szCs w:val="24"/>
          <w:u w:val="single"/>
        </w:rPr>
        <w:t xml:space="preserve">        </w:t>
      </w:r>
      <w:r>
        <w:rPr>
          <w:rFonts w:ascii="宋体" w:hAnsi="宋体"/>
          <w:color w:val="auto"/>
          <w:position w:val="-10"/>
          <w:sz w:val="24"/>
          <w:szCs w:val="24"/>
        </w:rPr>
        <w:t xml:space="preserve"> 。</w:t>
      </w:r>
    </w:p>
    <w:p w14:paraId="2F906DE3">
      <w:pPr>
        <w:spacing w:line="360" w:lineRule="auto"/>
        <w:ind w:firstLine="353"/>
        <w:rPr>
          <w:rFonts w:hint="eastAsia" w:ascii="宋体" w:hAnsi="宋体"/>
          <w:color w:val="auto"/>
          <w:position w:val="-10"/>
          <w:sz w:val="24"/>
          <w:szCs w:val="24"/>
        </w:rPr>
      </w:pPr>
      <w:r>
        <w:rPr>
          <w:rFonts w:ascii="宋体" w:hAnsi="宋体"/>
          <w:color w:val="auto"/>
          <w:position w:val="-10"/>
          <w:sz w:val="24"/>
          <w:szCs w:val="24"/>
        </w:rPr>
        <w:t>十一</w:t>
      </w:r>
      <w:r>
        <w:rPr>
          <w:rFonts w:hint="eastAsia" w:ascii="宋体" w:hAnsi="宋体"/>
          <w:color w:val="auto"/>
          <w:position w:val="-10"/>
          <w:sz w:val="24"/>
          <w:szCs w:val="24"/>
        </w:rPr>
        <w:t>、</w:t>
      </w:r>
      <w:r>
        <w:rPr>
          <w:rFonts w:ascii="宋体" w:hAnsi="宋体"/>
          <w:color w:val="auto"/>
          <w:position w:val="-10"/>
          <w:sz w:val="24"/>
          <w:szCs w:val="24"/>
        </w:rPr>
        <w:t>税费</w:t>
      </w:r>
    </w:p>
    <w:p w14:paraId="58EA65BD">
      <w:pPr>
        <w:spacing w:line="360" w:lineRule="auto"/>
        <w:ind w:firstLine="360"/>
        <w:rPr>
          <w:rFonts w:hint="eastAsia" w:ascii="宋体" w:hAnsi="宋体"/>
          <w:color w:val="auto"/>
          <w:position w:val="-10"/>
          <w:sz w:val="24"/>
          <w:szCs w:val="24"/>
        </w:rPr>
      </w:pPr>
      <w:r>
        <w:rPr>
          <w:rFonts w:hint="eastAsia" w:ascii="宋体" w:hAnsi="宋体"/>
          <w:color w:val="auto"/>
          <w:position w:val="-10"/>
          <w:sz w:val="24"/>
          <w:szCs w:val="24"/>
        </w:rPr>
        <w:t>本合同执行中相关的一切税费均由乙方负担。</w:t>
      </w:r>
    </w:p>
    <w:p w14:paraId="23B6368F">
      <w:pPr>
        <w:spacing w:line="360" w:lineRule="auto"/>
        <w:ind w:firstLine="353"/>
        <w:rPr>
          <w:rFonts w:hint="eastAsia" w:ascii="宋体" w:hAnsi="宋体"/>
          <w:color w:val="auto"/>
          <w:position w:val="-10"/>
          <w:sz w:val="24"/>
          <w:szCs w:val="24"/>
        </w:rPr>
      </w:pPr>
      <w:r>
        <w:rPr>
          <w:rFonts w:ascii="宋体" w:hAnsi="宋体"/>
          <w:color w:val="auto"/>
          <w:position w:val="-10"/>
          <w:sz w:val="24"/>
          <w:szCs w:val="24"/>
        </w:rPr>
        <w:t>十二、质量保证及售后服务</w:t>
      </w:r>
    </w:p>
    <w:p w14:paraId="6E5AB23E">
      <w:pPr>
        <w:spacing w:line="360" w:lineRule="auto"/>
        <w:ind w:firstLine="360"/>
        <w:rPr>
          <w:rFonts w:hint="eastAsia" w:ascii="宋体" w:hAnsi="宋体"/>
          <w:color w:val="auto"/>
          <w:position w:val="-10"/>
          <w:sz w:val="24"/>
          <w:szCs w:val="24"/>
        </w:rPr>
      </w:pPr>
      <w:r>
        <w:rPr>
          <w:rFonts w:ascii="宋体" w:hAnsi="宋体"/>
          <w:color w:val="auto"/>
          <w:position w:val="-10"/>
          <w:sz w:val="24"/>
          <w:szCs w:val="24"/>
        </w:rPr>
        <w:t>12.1乙方应按</w:t>
      </w:r>
      <w:r>
        <w:rPr>
          <w:rFonts w:hint="eastAsia" w:ascii="宋体" w:hAnsi="宋体"/>
          <w:color w:val="auto"/>
          <w:position w:val="-10"/>
          <w:sz w:val="24"/>
          <w:szCs w:val="24"/>
          <w:lang w:eastAsia="zh-CN"/>
        </w:rPr>
        <w:t>招标文件</w:t>
      </w:r>
      <w:r>
        <w:rPr>
          <w:rFonts w:ascii="宋体" w:hAnsi="宋体"/>
          <w:color w:val="auto"/>
          <w:position w:val="-10"/>
          <w:sz w:val="24"/>
          <w:szCs w:val="24"/>
        </w:rPr>
        <w:t>规定和</w:t>
      </w:r>
      <w:r>
        <w:rPr>
          <w:rFonts w:hint="eastAsia" w:ascii="宋体" w:hAnsi="宋体"/>
          <w:color w:val="auto"/>
          <w:position w:val="-10"/>
          <w:sz w:val="24"/>
          <w:szCs w:val="24"/>
          <w:lang w:eastAsia="zh-CN"/>
        </w:rPr>
        <w:t>投标文件</w:t>
      </w:r>
      <w:r>
        <w:rPr>
          <w:rFonts w:ascii="宋体" w:hAnsi="宋体"/>
          <w:color w:val="auto"/>
          <w:position w:val="-10"/>
          <w:sz w:val="24"/>
          <w:szCs w:val="24"/>
        </w:rPr>
        <w:t>承诺的性能、技术要求、质量标准向甲方提供产品或服务。</w:t>
      </w:r>
    </w:p>
    <w:p w14:paraId="0C591B08">
      <w:pPr>
        <w:spacing w:line="360" w:lineRule="auto"/>
        <w:ind w:left="359"/>
        <w:rPr>
          <w:rFonts w:hint="eastAsia" w:ascii="宋体" w:hAnsi="宋体"/>
          <w:color w:val="auto"/>
          <w:position w:val="-10"/>
          <w:sz w:val="24"/>
          <w:szCs w:val="24"/>
        </w:rPr>
      </w:pPr>
      <w:r>
        <w:rPr>
          <w:rFonts w:ascii="宋体" w:hAnsi="宋体"/>
          <w:color w:val="auto"/>
          <w:position w:val="-10"/>
          <w:sz w:val="24"/>
          <w:szCs w:val="24"/>
        </w:rPr>
        <w:t>12.2乙方提供的产品或服务在质保期内因其本身出现质量问题，根据实际情况，经双方协商，可按以下办法处理：</w:t>
      </w:r>
    </w:p>
    <w:p w14:paraId="279687CF">
      <w:pPr>
        <w:spacing w:line="360" w:lineRule="auto"/>
        <w:ind w:firstLine="240"/>
        <w:rPr>
          <w:rFonts w:hint="eastAsia" w:ascii="宋体" w:hAnsi="宋体"/>
          <w:color w:val="auto"/>
          <w:position w:val="-10"/>
          <w:sz w:val="24"/>
          <w:szCs w:val="24"/>
        </w:rPr>
      </w:pPr>
      <w:r>
        <w:rPr>
          <w:rFonts w:ascii="宋体" w:hAnsi="宋体"/>
          <w:color w:val="auto"/>
          <w:position w:val="-10"/>
          <w:sz w:val="24"/>
          <w:szCs w:val="24"/>
        </w:rPr>
        <w:t>（1）更换：由乙方承担所发生的全部费用。</w:t>
      </w:r>
    </w:p>
    <w:p w14:paraId="2FC328AD">
      <w:pPr>
        <w:spacing w:line="360" w:lineRule="auto"/>
        <w:ind w:firstLine="240"/>
        <w:rPr>
          <w:rFonts w:hint="eastAsia" w:ascii="宋体" w:hAnsi="宋体"/>
          <w:color w:val="auto"/>
          <w:position w:val="-10"/>
          <w:sz w:val="24"/>
          <w:szCs w:val="24"/>
        </w:rPr>
      </w:pPr>
      <w:r>
        <w:rPr>
          <w:rFonts w:ascii="宋体" w:hAnsi="宋体"/>
          <w:color w:val="auto"/>
          <w:position w:val="-10"/>
          <w:sz w:val="24"/>
          <w:szCs w:val="24"/>
        </w:rPr>
        <w:t>（2）合同终止处理：合同终止，并退还甲方支付的合同款，同时应承担由此产生的所有费用，甲方不承担发生任何费用。</w:t>
      </w:r>
    </w:p>
    <w:p w14:paraId="72635A99">
      <w:pPr>
        <w:spacing w:line="360" w:lineRule="auto"/>
        <w:ind w:firstLine="360"/>
        <w:rPr>
          <w:rFonts w:hint="eastAsia" w:ascii="宋体" w:hAnsi="宋体"/>
          <w:color w:val="auto"/>
          <w:position w:val="-10"/>
          <w:sz w:val="24"/>
          <w:szCs w:val="24"/>
        </w:rPr>
      </w:pPr>
      <w:r>
        <w:rPr>
          <w:rFonts w:ascii="宋体" w:hAnsi="宋体"/>
          <w:color w:val="auto"/>
          <w:position w:val="-10"/>
          <w:sz w:val="24"/>
          <w:szCs w:val="24"/>
        </w:rPr>
        <w:t>12.3如在使用过程中发生质量问题，乙方在接到甲方通知后在</w:t>
      </w:r>
      <w:r>
        <w:rPr>
          <w:rFonts w:ascii="宋体" w:hAnsi="宋体"/>
          <w:color w:val="auto"/>
          <w:position w:val="-10"/>
          <w:sz w:val="24"/>
          <w:szCs w:val="24"/>
          <w:u w:val="single"/>
        </w:rPr>
        <w:t xml:space="preserve">     </w:t>
      </w:r>
      <w:r>
        <w:rPr>
          <w:rFonts w:ascii="宋体" w:hAnsi="宋体"/>
          <w:color w:val="auto"/>
          <w:position w:val="-10"/>
          <w:sz w:val="24"/>
          <w:szCs w:val="24"/>
        </w:rPr>
        <w:t>小时内到达甲方现场。</w:t>
      </w:r>
    </w:p>
    <w:p w14:paraId="5FDE83AA">
      <w:pPr>
        <w:spacing w:line="360" w:lineRule="auto"/>
        <w:ind w:firstLine="360"/>
        <w:rPr>
          <w:rFonts w:hint="eastAsia" w:ascii="宋体" w:hAnsi="宋体"/>
          <w:color w:val="auto"/>
          <w:position w:val="-10"/>
          <w:sz w:val="24"/>
          <w:szCs w:val="24"/>
        </w:rPr>
      </w:pPr>
      <w:r>
        <w:rPr>
          <w:rFonts w:ascii="宋体" w:hAnsi="宋体"/>
          <w:color w:val="auto"/>
          <w:position w:val="-10"/>
          <w:sz w:val="24"/>
          <w:szCs w:val="24"/>
        </w:rPr>
        <w:t>12.4在质保期内，乙方应对产品或服务出现的质量及安全问题负责处理解决并承担一切费用。</w:t>
      </w:r>
    </w:p>
    <w:p w14:paraId="52F3E282">
      <w:pPr>
        <w:spacing w:line="360" w:lineRule="auto"/>
        <w:ind w:firstLine="360"/>
        <w:rPr>
          <w:rFonts w:hint="eastAsia" w:ascii="宋体" w:hAnsi="宋体"/>
          <w:color w:val="auto"/>
          <w:position w:val="-10"/>
          <w:sz w:val="24"/>
          <w:szCs w:val="24"/>
        </w:rPr>
      </w:pPr>
      <w:r>
        <w:rPr>
          <w:rFonts w:ascii="宋体" w:hAnsi="宋体"/>
          <w:color w:val="auto"/>
          <w:position w:val="-10"/>
          <w:sz w:val="24"/>
          <w:szCs w:val="24"/>
        </w:rPr>
        <w:t>12.5合同标的对质量保证和售后服务另有要求的，按</w:t>
      </w:r>
      <w:r>
        <w:rPr>
          <w:rFonts w:hint="eastAsia" w:ascii="宋体" w:hAnsi="宋体"/>
          <w:color w:val="auto"/>
          <w:position w:val="-10"/>
          <w:sz w:val="24"/>
          <w:szCs w:val="24"/>
          <w:lang w:eastAsia="zh-CN"/>
        </w:rPr>
        <w:t>招标文件</w:t>
      </w:r>
      <w:r>
        <w:rPr>
          <w:rFonts w:ascii="宋体" w:hAnsi="宋体"/>
          <w:color w:val="auto"/>
          <w:position w:val="-10"/>
          <w:sz w:val="24"/>
          <w:szCs w:val="24"/>
        </w:rPr>
        <w:t>中的相关要求处理。</w:t>
      </w:r>
    </w:p>
    <w:p w14:paraId="0668FF47">
      <w:pPr>
        <w:spacing w:line="360" w:lineRule="auto"/>
        <w:ind w:left="479" w:hanging="120"/>
        <w:rPr>
          <w:rFonts w:hint="eastAsia" w:ascii="宋体" w:hAnsi="宋体"/>
          <w:color w:val="auto"/>
          <w:position w:val="-10"/>
          <w:sz w:val="24"/>
          <w:szCs w:val="24"/>
        </w:rPr>
      </w:pPr>
      <w:r>
        <w:rPr>
          <w:rFonts w:ascii="宋体" w:hAnsi="宋体"/>
          <w:color w:val="auto"/>
          <w:position w:val="-10"/>
          <w:sz w:val="24"/>
          <w:szCs w:val="24"/>
        </w:rPr>
        <w:t>十三、验收</w:t>
      </w:r>
    </w:p>
    <w:p w14:paraId="7A0C38B9">
      <w:pPr>
        <w:spacing w:line="360" w:lineRule="auto"/>
        <w:ind w:left="479" w:hanging="120"/>
        <w:rPr>
          <w:rFonts w:hint="eastAsia" w:ascii="宋体" w:hAnsi="宋体"/>
          <w:color w:val="auto"/>
          <w:position w:val="-10"/>
          <w:sz w:val="24"/>
          <w:szCs w:val="24"/>
        </w:rPr>
      </w:pPr>
      <w:r>
        <w:rPr>
          <w:rFonts w:ascii="宋体" w:hAnsi="宋体"/>
          <w:color w:val="auto"/>
          <w:position w:val="-10"/>
          <w:sz w:val="24"/>
          <w:szCs w:val="24"/>
        </w:rPr>
        <w:t>13.1甲方对乙方提交的产品或服务依据</w:t>
      </w:r>
      <w:r>
        <w:rPr>
          <w:rFonts w:hint="eastAsia" w:ascii="宋体" w:hAnsi="宋体"/>
          <w:color w:val="auto"/>
          <w:position w:val="-10"/>
          <w:sz w:val="24"/>
          <w:szCs w:val="24"/>
          <w:lang w:eastAsia="zh-CN"/>
        </w:rPr>
        <w:t>招标文件</w:t>
      </w:r>
      <w:r>
        <w:rPr>
          <w:rFonts w:ascii="宋体" w:hAnsi="宋体"/>
          <w:color w:val="auto"/>
          <w:position w:val="-10"/>
          <w:sz w:val="24"/>
          <w:szCs w:val="24"/>
        </w:rPr>
        <w:t>上的项目需求要求、乙方</w:t>
      </w:r>
      <w:r>
        <w:rPr>
          <w:rFonts w:hint="eastAsia" w:ascii="宋体" w:hAnsi="宋体"/>
          <w:color w:val="auto"/>
          <w:position w:val="-10"/>
          <w:sz w:val="24"/>
          <w:szCs w:val="24"/>
          <w:lang w:eastAsia="zh-CN"/>
        </w:rPr>
        <w:t>投标文件</w:t>
      </w:r>
      <w:r>
        <w:rPr>
          <w:rFonts w:ascii="宋体" w:hAnsi="宋体"/>
          <w:color w:val="auto"/>
          <w:position w:val="-10"/>
          <w:sz w:val="24"/>
          <w:szCs w:val="24"/>
        </w:rPr>
        <w:t>及国家有关质量标准进行验收。</w:t>
      </w:r>
    </w:p>
    <w:p w14:paraId="6EBDCC47">
      <w:pPr>
        <w:spacing w:line="360" w:lineRule="auto"/>
        <w:ind w:left="479" w:hanging="120"/>
        <w:rPr>
          <w:rFonts w:hint="eastAsia" w:ascii="宋体" w:hAnsi="宋体"/>
          <w:color w:val="auto"/>
          <w:position w:val="-10"/>
          <w:sz w:val="24"/>
          <w:szCs w:val="24"/>
        </w:rPr>
      </w:pPr>
      <w:r>
        <w:rPr>
          <w:rFonts w:ascii="宋体" w:hAnsi="宋体"/>
          <w:color w:val="auto"/>
          <w:position w:val="-10"/>
          <w:sz w:val="24"/>
          <w:szCs w:val="24"/>
        </w:rPr>
        <w:t>13.2乙方交货前应对产品或服务作出全面检查和对验收文件进行整理，并列出清单，作为甲方验收和使用的技术条件依据，检验的结果应随服务一起提交甲方。</w:t>
      </w:r>
    </w:p>
    <w:p w14:paraId="526B757C">
      <w:pPr>
        <w:spacing w:line="360" w:lineRule="auto"/>
        <w:ind w:left="479" w:hanging="120"/>
        <w:rPr>
          <w:rFonts w:hint="eastAsia" w:ascii="宋体" w:hAnsi="宋体"/>
          <w:color w:val="auto"/>
          <w:position w:val="-10"/>
          <w:sz w:val="24"/>
          <w:szCs w:val="24"/>
        </w:rPr>
      </w:pPr>
      <w:r>
        <w:rPr>
          <w:rFonts w:ascii="宋体" w:hAnsi="宋体"/>
          <w:color w:val="auto"/>
          <w:position w:val="-10"/>
          <w:sz w:val="24"/>
          <w:szCs w:val="24"/>
        </w:rPr>
        <w:t>13.3甲方对乙方提供的产品或服务在使用前，乙方需负责培训甲方的使用操作人员，并协助甲方一起试用，直到符合技术要求，甲方才做最终验收。</w:t>
      </w:r>
    </w:p>
    <w:p w14:paraId="5992969A">
      <w:pPr>
        <w:spacing w:line="360" w:lineRule="auto"/>
        <w:ind w:left="479" w:hanging="120"/>
        <w:rPr>
          <w:rFonts w:hint="eastAsia" w:ascii="宋体" w:hAnsi="宋体"/>
          <w:color w:val="auto"/>
          <w:position w:val="-10"/>
          <w:sz w:val="24"/>
          <w:szCs w:val="24"/>
        </w:rPr>
      </w:pPr>
      <w:r>
        <w:rPr>
          <w:rFonts w:ascii="宋体" w:hAnsi="宋体"/>
          <w:color w:val="auto"/>
          <w:position w:val="-10"/>
          <w:sz w:val="24"/>
          <w:szCs w:val="24"/>
        </w:rPr>
        <w:t>13.4</w:t>
      </w:r>
      <w:r>
        <w:rPr>
          <w:rFonts w:ascii="宋体" w:hAnsi="宋体"/>
          <w:color w:val="auto"/>
          <w:position w:val="-10"/>
          <w:sz w:val="24"/>
          <w:szCs w:val="24"/>
        </w:rPr>
        <w:t>对技术复杂的产品或服务，甲方可请国家认可的专业检测机构参与初步验收及最终验收，并由其出具质量检测报告。</w:t>
      </w:r>
    </w:p>
    <w:p w14:paraId="035C640A">
      <w:pPr>
        <w:spacing w:line="360" w:lineRule="auto"/>
        <w:ind w:left="479" w:hanging="120"/>
        <w:rPr>
          <w:rFonts w:hint="eastAsia" w:ascii="宋体" w:hAnsi="宋体"/>
          <w:color w:val="auto"/>
          <w:position w:val="-10"/>
          <w:sz w:val="24"/>
          <w:szCs w:val="24"/>
        </w:rPr>
      </w:pPr>
      <w:r>
        <w:rPr>
          <w:rFonts w:ascii="宋体" w:hAnsi="宋体"/>
          <w:color w:val="auto"/>
          <w:position w:val="-10"/>
          <w:sz w:val="24"/>
          <w:szCs w:val="24"/>
        </w:rPr>
        <w:t>13.5</w:t>
      </w:r>
      <w:r>
        <w:rPr>
          <w:rFonts w:ascii="宋体" w:hAnsi="宋体"/>
          <w:color w:val="auto"/>
          <w:position w:val="-10"/>
          <w:sz w:val="24"/>
          <w:szCs w:val="24"/>
        </w:rPr>
        <w:t>验收时乙方必须在现场，验收完毕后作出验收结果报告；</w:t>
      </w:r>
      <w:r>
        <w:rPr>
          <w:rFonts w:hint="eastAsia" w:ascii="宋体" w:hAnsi="宋体"/>
          <w:color w:val="auto"/>
          <w:position w:val="-10"/>
          <w:sz w:val="24"/>
          <w:szCs w:val="24"/>
          <w:lang w:eastAsia="zh-CN"/>
        </w:rPr>
        <w:t>招标文件</w:t>
      </w:r>
      <w:r>
        <w:rPr>
          <w:rFonts w:ascii="宋体" w:hAnsi="宋体"/>
          <w:color w:val="auto"/>
          <w:position w:val="-10"/>
          <w:sz w:val="24"/>
          <w:szCs w:val="24"/>
        </w:rPr>
        <w:t>规定以外的验收费用由甲乙双方协商解决。</w:t>
      </w:r>
    </w:p>
    <w:p w14:paraId="742EAB4F">
      <w:pPr>
        <w:spacing w:line="360" w:lineRule="auto"/>
        <w:ind w:left="479" w:right="26" w:hanging="120"/>
        <w:rPr>
          <w:rFonts w:hint="eastAsia" w:ascii="宋体" w:hAnsi="宋体"/>
          <w:color w:val="auto"/>
          <w:position w:val="-10"/>
          <w:sz w:val="24"/>
          <w:szCs w:val="24"/>
        </w:rPr>
      </w:pPr>
      <w:r>
        <w:rPr>
          <w:rFonts w:ascii="宋体" w:hAnsi="宋体"/>
          <w:color w:val="auto"/>
          <w:position w:val="-10"/>
          <w:sz w:val="24"/>
          <w:szCs w:val="24"/>
        </w:rPr>
        <w:t>13.6合同标的对验收另有要求的，按</w:t>
      </w:r>
      <w:r>
        <w:rPr>
          <w:rFonts w:hint="eastAsia" w:ascii="宋体" w:hAnsi="宋体"/>
          <w:color w:val="auto"/>
          <w:position w:val="-10"/>
          <w:sz w:val="24"/>
          <w:szCs w:val="24"/>
          <w:lang w:eastAsia="zh-CN"/>
        </w:rPr>
        <w:t>招标文件</w:t>
      </w:r>
      <w:r>
        <w:rPr>
          <w:rFonts w:ascii="宋体" w:hAnsi="宋体"/>
          <w:color w:val="auto"/>
          <w:position w:val="-10"/>
          <w:sz w:val="24"/>
          <w:szCs w:val="24"/>
        </w:rPr>
        <w:t>中的相关要求执行。</w:t>
      </w:r>
    </w:p>
    <w:p w14:paraId="6E0F3A68">
      <w:pPr>
        <w:spacing w:line="360" w:lineRule="auto"/>
        <w:ind w:firstLine="353"/>
        <w:rPr>
          <w:rFonts w:hint="eastAsia" w:ascii="宋体" w:hAnsi="宋体"/>
          <w:color w:val="auto"/>
          <w:position w:val="-10"/>
          <w:sz w:val="24"/>
          <w:szCs w:val="24"/>
        </w:rPr>
      </w:pPr>
      <w:r>
        <w:rPr>
          <w:rFonts w:ascii="宋体" w:hAnsi="宋体"/>
          <w:color w:val="auto"/>
          <w:position w:val="-10"/>
          <w:sz w:val="24"/>
          <w:szCs w:val="24"/>
        </w:rPr>
        <w:t>十四、合同内容的交付</w:t>
      </w:r>
    </w:p>
    <w:p w14:paraId="06093D74">
      <w:pPr>
        <w:spacing w:line="360" w:lineRule="auto"/>
        <w:ind w:left="479" w:hanging="120"/>
        <w:rPr>
          <w:rFonts w:hint="eastAsia" w:ascii="宋体" w:hAnsi="宋体"/>
          <w:color w:val="auto"/>
          <w:position w:val="-10"/>
          <w:sz w:val="24"/>
          <w:szCs w:val="24"/>
        </w:rPr>
      </w:pPr>
      <w:r>
        <w:rPr>
          <w:rFonts w:ascii="宋体" w:hAnsi="宋体"/>
          <w:color w:val="auto"/>
          <w:position w:val="-10"/>
          <w:sz w:val="24"/>
          <w:szCs w:val="24"/>
        </w:rPr>
        <w:t>14.1乙方应保证合同标的安全运达甲方指定地点。</w:t>
      </w:r>
    </w:p>
    <w:p w14:paraId="1EA1377A">
      <w:pPr>
        <w:spacing w:line="360" w:lineRule="auto"/>
        <w:ind w:left="479" w:hanging="120"/>
        <w:rPr>
          <w:rFonts w:hint="eastAsia" w:ascii="宋体" w:hAnsi="宋体"/>
          <w:color w:val="auto"/>
          <w:position w:val="-10"/>
          <w:sz w:val="24"/>
          <w:szCs w:val="24"/>
        </w:rPr>
      </w:pPr>
      <w:r>
        <w:rPr>
          <w:rFonts w:ascii="宋体" w:hAnsi="宋体"/>
          <w:color w:val="auto"/>
          <w:position w:val="-10"/>
          <w:sz w:val="24"/>
          <w:szCs w:val="24"/>
        </w:rPr>
        <w:t>14.2 使用说明书、质量检验证明书一并提交甲方。</w:t>
      </w:r>
    </w:p>
    <w:p w14:paraId="5382F5B9">
      <w:pPr>
        <w:spacing w:line="360" w:lineRule="auto"/>
        <w:ind w:left="479" w:hanging="120"/>
        <w:rPr>
          <w:rFonts w:hint="eastAsia" w:ascii="宋体" w:hAnsi="宋体"/>
          <w:color w:val="auto"/>
          <w:position w:val="-10"/>
          <w:sz w:val="24"/>
          <w:szCs w:val="24"/>
        </w:rPr>
      </w:pPr>
      <w:r>
        <w:rPr>
          <w:rFonts w:ascii="宋体" w:hAnsi="宋体"/>
          <w:color w:val="auto"/>
          <w:position w:val="-10"/>
          <w:sz w:val="24"/>
          <w:szCs w:val="24"/>
        </w:rPr>
        <w:t>14.3 乙方在合同标的交付甲方48小时前通知甲方准备接收。</w:t>
      </w:r>
    </w:p>
    <w:p w14:paraId="00B47188">
      <w:pPr>
        <w:spacing w:line="360" w:lineRule="auto"/>
        <w:ind w:left="479" w:hanging="120"/>
        <w:rPr>
          <w:rFonts w:hint="eastAsia" w:ascii="宋体" w:hAnsi="宋体"/>
          <w:color w:val="auto"/>
          <w:position w:val="-10"/>
          <w:sz w:val="24"/>
          <w:szCs w:val="24"/>
        </w:rPr>
      </w:pPr>
      <w:r>
        <w:rPr>
          <w:rFonts w:ascii="宋体" w:hAnsi="宋体"/>
          <w:color w:val="auto"/>
          <w:position w:val="-10"/>
          <w:sz w:val="24"/>
          <w:szCs w:val="24"/>
        </w:rPr>
        <w:t>14.4 合同标的在交付甲方前发生的风险均由乙方负责。</w:t>
      </w:r>
    </w:p>
    <w:p w14:paraId="550E4266">
      <w:pPr>
        <w:spacing w:line="360" w:lineRule="auto"/>
        <w:ind w:left="479" w:right="26" w:hanging="120"/>
        <w:rPr>
          <w:rFonts w:hint="eastAsia" w:ascii="宋体" w:hAnsi="宋体"/>
          <w:color w:val="auto"/>
          <w:position w:val="-10"/>
          <w:sz w:val="24"/>
          <w:szCs w:val="24"/>
        </w:rPr>
      </w:pPr>
      <w:r>
        <w:rPr>
          <w:rFonts w:ascii="宋体" w:hAnsi="宋体"/>
          <w:color w:val="auto"/>
          <w:position w:val="-10"/>
          <w:sz w:val="24"/>
          <w:szCs w:val="24"/>
        </w:rPr>
        <w:t>14.5 合同标的在规定的交付期限内由乙方送达甲方指定的地点视为交付，乙方同时需通知甲方已送达；</w:t>
      </w:r>
    </w:p>
    <w:p w14:paraId="645E646C">
      <w:pPr>
        <w:spacing w:line="360" w:lineRule="auto"/>
        <w:ind w:left="479" w:right="26" w:hanging="120"/>
        <w:rPr>
          <w:rFonts w:hint="eastAsia" w:ascii="宋体" w:hAnsi="宋体"/>
          <w:color w:val="auto"/>
          <w:position w:val="-10"/>
          <w:sz w:val="24"/>
          <w:szCs w:val="24"/>
        </w:rPr>
      </w:pPr>
      <w:r>
        <w:rPr>
          <w:rFonts w:ascii="宋体" w:hAnsi="宋体"/>
          <w:color w:val="auto"/>
          <w:position w:val="-10"/>
          <w:sz w:val="24"/>
          <w:szCs w:val="24"/>
        </w:rPr>
        <w:t>14.6合同标的对交付另有要求的，按</w:t>
      </w:r>
      <w:r>
        <w:rPr>
          <w:rFonts w:hint="eastAsia" w:ascii="宋体" w:hAnsi="宋体"/>
          <w:color w:val="auto"/>
          <w:position w:val="-10"/>
          <w:sz w:val="24"/>
          <w:szCs w:val="24"/>
          <w:lang w:eastAsia="zh-CN"/>
        </w:rPr>
        <w:t>招标文件</w:t>
      </w:r>
      <w:r>
        <w:rPr>
          <w:rFonts w:ascii="宋体" w:hAnsi="宋体"/>
          <w:color w:val="auto"/>
          <w:position w:val="-10"/>
          <w:sz w:val="24"/>
          <w:szCs w:val="24"/>
        </w:rPr>
        <w:t>中的相关要求执行。</w:t>
      </w:r>
    </w:p>
    <w:p w14:paraId="0B2F7BB1">
      <w:pPr>
        <w:spacing w:line="360" w:lineRule="auto"/>
        <w:ind w:firstLine="353"/>
        <w:rPr>
          <w:rFonts w:hint="eastAsia" w:ascii="宋体" w:hAnsi="宋体"/>
          <w:color w:val="auto"/>
          <w:position w:val="-10"/>
          <w:sz w:val="24"/>
          <w:szCs w:val="24"/>
        </w:rPr>
      </w:pPr>
      <w:r>
        <w:rPr>
          <w:rFonts w:ascii="宋体" w:hAnsi="宋体"/>
          <w:color w:val="auto"/>
          <w:position w:val="-10"/>
          <w:sz w:val="24"/>
          <w:szCs w:val="24"/>
        </w:rPr>
        <w:t>十五、违约责任</w:t>
      </w:r>
    </w:p>
    <w:p w14:paraId="3BF4869B">
      <w:pPr>
        <w:spacing w:line="360" w:lineRule="auto"/>
        <w:ind w:left="407" w:hanging="48"/>
        <w:rPr>
          <w:rFonts w:hint="eastAsia" w:ascii="宋体" w:hAnsi="宋体"/>
          <w:color w:val="auto"/>
          <w:position w:val="-10"/>
          <w:sz w:val="24"/>
          <w:szCs w:val="24"/>
        </w:rPr>
      </w:pPr>
      <w:r>
        <w:rPr>
          <w:rFonts w:ascii="宋体" w:hAnsi="宋体"/>
          <w:color w:val="auto"/>
          <w:position w:val="-10"/>
          <w:sz w:val="24"/>
          <w:szCs w:val="24"/>
        </w:rPr>
        <w:t>15.1 甲方无正当理由拒收的，甲方向乙方偿付拒收货款总值的百分之五违约金。</w:t>
      </w:r>
    </w:p>
    <w:p w14:paraId="65B953B1">
      <w:pPr>
        <w:spacing w:line="360" w:lineRule="auto"/>
        <w:ind w:left="407" w:hanging="48"/>
        <w:rPr>
          <w:rFonts w:hint="eastAsia" w:ascii="宋体" w:hAnsi="宋体"/>
          <w:color w:val="auto"/>
          <w:position w:val="-10"/>
          <w:sz w:val="24"/>
          <w:szCs w:val="24"/>
        </w:rPr>
      </w:pPr>
      <w:r>
        <w:rPr>
          <w:rFonts w:ascii="宋体" w:hAnsi="宋体"/>
          <w:color w:val="auto"/>
          <w:position w:val="-10"/>
          <w:sz w:val="24"/>
          <w:szCs w:val="24"/>
        </w:rPr>
        <w:t>15.2 甲方无故逾期验收和办理合同款支付手续的,甲方应按逾期付款总额每日万分之五向乙方支付违约金。</w:t>
      </w:r>
    </w:p>
    <w:p w14:paraId="35ADC79D">
      <w:pPr>
        <w:spacing w:line="360" w:lineRule="auto"/>
        <w:ind w:left="407" w:hanging="48"/>
        <w:rPr>
          <w:rFonts w:hint="eastAsia" w:ascii="宋体" w:hAnsi="宋体"/>
          <w:color w:val="auto"/>
          <w:position w:val="-10"/>
          <w:sz w:val="24"/>
          <w:szCs w:val="24"/>
        </w:rPr>
      </w:pPr>
      <w:r>
        <w:rPr>
          <w:rFonts w:ascii="宋体" w:hAnsi="宋体"/>
          <w:color w:val="auto"/>
          <w:position w:val="-10"/>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68F9CD94">
      <w:pPr>
        <w:spacing w:line="360" w:lineRule="auto"/>
        <w:ind w:left="407" w:hanging="48"/>
        <w:rPr>
          <w:rFonts w:hint="eastAsia" w:ascii="宋体" w:hAnsi="宋体"/>
          <w:color w:val="auto"/>
          <w:position w:val="-10"/>
          <w:sz w:val="24"/>
          <w:szCs w:val="24"/>
        </w:rPr>
      </w:pPr>
      <w:r>
        <w:rPr>
          <w:rFonts w:ascii="宋体" w:hAnsi="宋体"/>
          <w:color w:val="auto"/>
          <w:position w:val="-10"/>
          <w:sz w:val="24"/>
          <w:szCs w:val="24"/>
        </w:rPr>
        <w:t>15.4 乙方所交的产品或服务不符合项目需求要求、乙方</w:t>
      </w:r>
      <w:r>
        <w:rPr>
          <w:rFonts w:hint="eastAsia" w:ascii="宋体" w:hAnsi="宋体"/>
          <w:color w:val="auto"/>
          <w:position w:val="-10"/>
          <w:sz w:val="24"/>
          <w:szCs w:val="24"/>
          <w:lang w:eastAsia="zh-CN"/>
        </w:rPr>
        <w:t>投标文件</w:t>
      </w:r>
      <w:r>
        <w:rPr>
          <w:rFonts w:ascii="宋体" w:hAnsi="宋体"/>
          <w:color w:val="auto"/>
          <w:position w:val="-10"/>
          <w:sz w:val="24"/>
          <w:szCs w:val="24"/>
        </w:rPr>
        <w:t>承诺及国家有关质量标准的，甲方有权拒收，乙方愿意更换但逾期交付的，按乙方逾期交付处理。乙方拒绝更换的，甲方可单方面解除合同，并由乙方赔偿由此造成的甲方全部损失。</w:t>
      </w:r>
    </w:p>
    <w:p w14:paraId="7CEA1B5E">
      <w:pPr>
        <w:spacing w:line="360" w:lineRule="auto"/>
        <w:ind w:firstLine="346"/>
        <w:rPr>
          <w:rFonts w:hint="eastAsia" w:ascii="宋体" w:hAnsi="宋体"/>
          <w:color w:val="auto"/>
          <w:position w:val="-10"/>
          <w:sz w:val="24"/>
          <w:szCs w:val="24"/>
        </w:rPr>
      </w:pPr>
      <w:r>
        <w:rPr>
          <w:rFonts w:ascii="宋体" w:hAnsi="宋体"/>
          <w:color w:val="auto"/>
          <w:position w:val="-10"/>
          <w:sz w:val="24"/>
          <w:szCs w:val="24"/>
        </w:rPr>
        <w:t>十六、不可抗力事件处理</w:t>
      </w:r>
    </w:p>
    <w:p w14:paraId="572A5153">
      <w:pPr>
        <w:spacing w:line="360" w:lineRule="auto"/>
        <w:ind w:firstLine="360"/>
        <w:rPr>
          <w:rFonts w:hint="eastAsia" w:ascii="宋体" w:hAnsi="宋体"/>
          <w:color w:val="auto"/>
          <w:position w:val="-10"/>
          <w:sz w:val="24"/>
          <w:szCs w:val="24"/>
        </w:rPr>
      </w:pPr>
      <w:r>
        <w:rPr>
          <w:rFonts w:ascii="宋体" w:hAnsi="宋体"/>
          <w:color w:val="auto"/>
          <w:position w:val="-10"/>
          <w:sz w:val="24"/>
          <w:szCs w:val="24"/>
        </w:rPr>
        <w:t>16.1 在合同有效期内，任何一方因不可抗力事件导致不能履行合同，则</w:t>
      </w:r>
      <w:r>
        <w:rPr>
          <w:rFonts w:hint="eastAsia" w:ascii="宋体" w:hAnsi="宋体"/>
          <w:color w:val="auto"/>
          <w:position w:val="-10"/>
          <w:sz w:val="24"/>
          <w:szCs w:val="24"/>
          <w:lang w:val="en-US" w:eastAsia="zh-CN"/>
        </w:rPr>
        <w:t>服务期限</w:t>
      </w:r>
      <w:r>
        <w:rPr>
          <w:rFonts w:ascii="宋体" w:hAnsi="宋体"/>
          <w:color w:val="auto"/>
          <w:position w:val="-10"/>
          <w:sz w:val="24"/>
          <w:szCs w:val="24"/>
        </w:rPr>
        <w:t>延长，其延长期与不可抗力影响期相同。</w:t>
      </w:r>
    </w:p>
    <w:p w14:paraId="5F79B2DE">
      <w:pPr>
        <w:spacing w:line="360" w:lineRule="auto"/>
        <w:ind w:firstLine="360"/>
        <w:rPr>
          <w:rFonts w:hint="eastAsia" w:ascii="宋体" w:hAnsi="宋体"/>
          <w:color w:val="auto"/>
          <w:position w:val="-10"/>
          <w:sz w:val="24"/>
          <w:szCs w:val="24"/>
        </w:rPr>
      </w:pPr>
      <w:r>
        <w:rPr>
          <w:rFonts w:ascii="宋体" w:hAnsi="宋体"/>
          <w:color w:val="auto"/>
          <w:position w:val="-10"/>
          <w:sz w:val="24"/>
          <w:szCs w:val="24"/>
        </w:rPr>
        <w:t>16.2 不可抗力事件发生后，应立即通知对方，并寄送有关权威机构出具的证明。</w:t>
      </w:r>
    </w:p>
    <w:p w14:paraId="3E40E8BD">
      <w:pPr>
        <w:spacing w:line="360" w:lineRule="auto"/>
        <w:ind w:firstLine="360"/>
        <w:rPr>
          <w:rFonts w:hint="eastAsia" w:ascii="宋体" w:hAnsi="宋体"/>
          <w:color w:val="auto"/>
          <w:position w:val="-10"/>
          <w:sz w:val="24"/>
          <w:szCs w:val="24"/>
        </w:rPr>
      </w:pPr>
      <w:r>
        <w:rPr>
          <w:rFonts w:ascii="宋体" w:hAnsi="宋体"/>
          <w:color w:val="auto"/>
          <w:position w:val="-10"/>
          <w:sz w:val="24"/>
          <w:szCs w:val="24"/>
        </w:rPr>
        <w:t>16.3 不可抗力事件延续120天以上，双方应通过友好协商，确定是否继续履行合同。</w:t>
      </w:r>
    </w:p>
    <w:p w14:paraId="5B761FBB">
      <w:pPr>
        <w:spacing w:line="360" w:lineRule="auto"/>
        <w:rPr>
          <w:rFonts w:hint="eastAsia" w:ascii="宋体" w:hAnsi="宋体"/>
          <w:color w:val="auto"/>
          <w:position w:val="-10"/>
          <w:sz w:val="24"/>
          <w:szCs w:val="24"/>
        </w:rPr>
      </w:pPr>
      <w:r>
        <w:rPr>
          <w:rFonts w:ascii="宋体" w:hAnsi="宋体"/>
          <w:color w:val="auto"/>
          <w:position w:val="-10"/>
          <w:sz w:val="24"/>
          <w:szCs w:val="24"/>
        </w:rPr>
        <w:t xml:space="preserve">  十七、诉讼</w:t>
      </w:r>
    </w:p>
    <w:p w14:paraId="22E6E755">
      <w:pPr>
        <w:spacing w:line="360" w:lineRule="auto"/>
        <w:ind w:left="479" w:hanging="120"/>
        <w:rPr>
          <w:rFonts w:hint="eastAsia" w:ascii="宋体" w:hAnsi="宋体"/>
          <w:color w:val="auto"/>
          <w:position w:val="-10"/>
          <w:sz w:val="24"/>
          <w:szCs w:val="24"/>
        </w:rPr>
      </w:pPr>
      <w:r>
        <w:rPr>
          <w:rFonts w:ascii="宋体" w:hAnsi="宋体"/>
          <w:color w:val="auto"/>
          <w:position w:val="-10"/>
          <w:sz w:val="24"/>
          <w:szCs w:val="24"/>
        </w:rPr>
        <w:t>17.1 双方在执行合同中所发生的一切争议，应通过协商解决。如协商不成，可向合同签订地法院起诉，合同签订地在此约定为南京市。</w:t>
      </w:r>
    </w:p>
    <w:p w14:paraId="27E37BF9">
      <w:pPr>
        <w:spacing w:line="360" w:lineRule="auto"/>
        <w:rPr>
          <w:rFonts w:hint="eastAsia" w:ascii="宋体" w:hAnsi="宋体"/>
          <w:color w:val="auto"/>
          <w:position w:val="-10"/>
          <w:sz w:val="24"/>
          <w:szCs w:val="24"/>
        </w:rPr>
      </w:pPr>
      <w:r>
        <w:rPr>
          <w:rFonts w:ascii="宋体" w:hAnsi="宋体"/>
          <w:color w:val="auto"/>
          <w:position w:val="-10"/>
          <w:sz w:val="24"/>
          <w:szCs w:val="24"/>
        </w:rPr>
        <w:t xml:space="preserve">  十八、合同生效及其它</w:t>
      </w:r>
    </w:p>
    <w:p w14:paraId="7630AFA8">
      <w:pPr>
        <w:spacing w:line="360" w:lineRule="auto"/>
        <w:ind w:firstLine="360"/>
        <w:rPr>
          <w:rFonts w:hint="eastAsia" w:ascii="宋体" w:hAnsi="宋体"/>
          <w:color w:val="auto"/>
          <w:position w:val="-10"/>
          <w:sz w:val="24"/>
          <w:szCs w:val="24"/>
        </w:rPr>
      </w:pPr>
      <w:r>
        <w:rPr>
          <w:rFonts w:ascii="宋体" w:hAnsi="宋体"/>
          <w:color w:val="auto"/>
          <w:position w:val="-10"/>
          <w:sz w:val="24"/>
          <w:szCs w:val="24"/>
        </w:rPr>
        <w:t>18.1 合同经双方法定代表人或授权委托代表人签字并加盖单位公章后生效。</w:t>
      </w:r>
    </w:p>
    <w:p w14:paraId="3BBC4273">
      <w:pPr>
        <w:spacing w:line="360" w:lineRule="auto"/>
        <w:ind w:firstLine="360"/>
        <w:rPr>
          <w:rFonts w:hint="eastAsia" w:ascii="宋体" w:hAnsi="宋体"/>
          <w:color w:val="auto"/>
          <w:position w:val="-10"/>
          <w:sz w:val="24"/>
          <w:szCs w:val="24"/>
        </w:rPr>
      </w:pPr>
      <w:r>
        <w:rPr>
          <w:rFonts w:ascii="宋体" w:hAnsi="宋体"/>
          <w:color w:val="auto"/>
          <w:position w:val="-10"/>
          <w:sz w:val="24"/>
          <w:szCs w:val="24"/>
        </w:rPr>
        <w:t>18.2本合同未尽事宜，遵照《</w:t>
      </w:r>
      <w:r>
        <w:rPr>
          <w:rFonts w:hint="eastAsia" w:ascii="宋体" w:hAnsi="宋体"/>
          <w:color w:val="auto"/>
          <w:position w:val="-10"/>
          <w:sz w:val="24"/>
          <w:szCs w:val="24"/>
        </w:rPr>
        <w:t>民法典</w:t>
      </w:r>
      <w:r>
        <w:rPr>
          <w:rFonts w:ascii="宋体" w:hAnsi="宋体"/>
          <w:color w:val="auto"/>
          <w:position w:val="-10"/>
          <w:sz w:val="24"/>
          <w:szCs w:val="24"/>
        </w:rPr>
        <w:t>》有关条文执行。</w:t>
      </w:r>
    </w:p>
    <w:p w14:paraId="4C653829">
      <w:pPr>
        <w:spacing w:line="360" w:lineRule="auto"/>
        <w:ind w:left="479" w:hanging="120"/>
        <w:rPr>
          <w:rFonts w:hint="eastAsia" w:ascii="宋体" w:hAnsi="宋体"/>
          <w:color w:val="auto"/>
          <w:position w:val="-10"/>
          <w:sz w:val="24"/>
          <w:szCs w:val="24"/>
        </w:rPr>
      </w:pPr>
      <w:r>
        <w:rPr>
          <w:rFonts w:ascii="宋体" w:hAnsi="宋体"/>
          <w:color w:val="auto"/>
          <w:position w:val="-10"/>
          <w:sz w:val="24"/>
          <w:szCs w:val="24"/>
        </w:rPr>
        <w:t>18.3 本合同正本一式三份，具有同等法律效力，甲方、乙方、及财政监管部门各执一份。</w:t>
      </w:r>
    </w:p>
    <w:p w14:paraId="33ADFAC6">
      <w:pPr>
        <w:spacing w:line="360" w:lineRule="auto"/>
        <w:ind w:left="480" w:hanging="480"/>
        <w:rPr>
          <w:rFonts w:hint="eastAsia" w:ascii="宋体" w:hAnsi="宋体"/>
          <w:color w:val="auto"/>
          <w:position w:val="-10"/>
          <w:sz w:val="24"/>
          <w:szCs w:val="24"/>
        </w:rPr>
      </w:pPr>
      <w:r>
        <w:rPr>
          <w:rFonts w:ascii="宋体" w:hAnsi="宋体"/>
          <w:color w:val="auto"/>
          <w:position w:val="-10"/>
          <w:sz w:val="24"/>
          <w:szCs w:val="24"/>
        </w:rPr>
        <w:t xml:space="preserve">  甲方：                                   乙方： </w:t>
      </w:r>
    </w:p>
    <w:p w14:paraId="59EE98F5">
      <w:pPr>
        <w:spacing w:line="360" w:lineRule="auto"/>
        <w:rPr>
          <w:rFonts w:hint="eastAsia" w:ascii="宋体" w:hAnsi="宋体"/>
          <w:color w:val="auto"/>
          <w:position w:val="-10"/>
          <w:sz w:val="24"/>
          <w:szCs w:val="24"/>
        </w:rPr>
      </w:pPr>
      <w:r>
        <w:rPr>
          <w:rFonts w:ascii="宋体" w:hAnsi="宋体"/>
          <w:color w:val="auto"/>
          <w:position w:val="-10"/>
          <w:sz w:val="24"/>
          <w:szCs w:val="24"/>
        </w:rPr>
        <w:t xml:space="preserve">  地址：                                   地址： </w:t>
      </w:r>
    </w:p>
    <w:p w14:paraId="310E34EE">
      <w:pPr>
        <w:spacing w:line="360" w:lineRule="auto"/>
        <w:rPr>
          <w:rFonts w:hint="eastAsia" w:ascii="宋体" w:hAnsi="宋体"/>
          <w:color w:val="auto"/>
          <w:position w:val="-10"/>
          <w:sz w:val="24"/>
          <w:szCs w:val="24"/>
        </w:rPr>
      </w:pPr>
      <w:r>
        <w:rPr>
          <w:rFonts w:ascii="宋体" w:hAnsi="宋体"/>
          <w:color w:val="auto"/>
          <w:position w:val="-10"/>
          <w:sz w:val="24"/>
          <w:szCs w:val="24"/>
        </w:rPr>
        <w:t xml:space="preserve">  法定代表人或授权代表：                   法定代表人或授权代表：</w:t>
      </w:r>
    </w:p>
    <w:p w14:paraId="695CB9CD">
      <w:pPr>
        <w:spacing w:line="360" w:lineRule="auto"/>
        <w:rPr>
          <w:rFonts w:hint="eastAsia" w:ascii="宋体" w:hAnsi="宋体"/>
          <w:color w:val="auto"/>
          <w:position w:val="-10"/>
          <w:sz w:val="24"/>
          <w:szCs w:val="24"/>
        </w:rPr>
      </w:pPr>
      <w:r>
        <w:rPr>
          <w:rFonts w:ascii="宋体" w:hAnsi="宋体"/>
          <w:color w:val="auto"/>
          <w:position w:val="-10"/>
          <w:sz w:val="24"/>
          <w:szCs w:val="24"/>
        </w:rPr>
        <w:t xml:space="preserve">  联系电话：                               联系电话：</w:t>
      </w:r>
      <w:r>
        <w:rPr>
          <w:rFonts w:hint="eastAsia" w:ascii="宋体" w:hAnsi="宋体"/>
          <w:color w:val="auto"/>
          <w:position w:val="-10"/>
          <w:sz w:val="24"/>
          <w:szCs w:val="24"/>
        </w:rPr>
        <w:t xml:space="preserve"> </w:t>
      </w:r>
    </w:p>
    <w:p w14:paraId="71919D18">
      <w:pPr>
        <w:spacing w:line="360" w:lineRule="auto"/>
        <w:rPr>
          <w:rFonts w:hint="eastAsia" w:ascii="宋体" w:hAnsi="宋体"/>
          <w:color w:val="auto"/>
          <w:position w:val="-10"/>
          <w:sz w:val="24"/>
          <w:szCs w:val="24"/>
        </w:rPr>
      </w:pPr>
      <w:r>
        <w:rPr>
          <w:rFonts w:hint="eastAsia" w:ascii="宋体" w:hAnsi="宋体"/>
          <w:color w:val="auto"/>
          <w:position w:val="-10"/>
          <w:sz w:val="24"/>
          <w:szCs w:val="24"/>
        </w:rPr>
        <w:t xml:space="preserve">                                       </w:t>
      </w:r>
      <w:r>
        <w:rPr>
          <w:rFonts w:ascii="宋体" w:hAnsi="宋体"/>
          <w:color w:val="auto"/>
          <w:position w:val="-10"/>
          <w:sz w:val="24"/>
          <w:szCs w:val="24"/>
        </w:rPr>
        <w:t xml:space="preserve"> 签订日期：      年  月  日</w:t>
      </w:r>
    </w:p>
    <w:p w14:paraId="1939AE00">
      <w:pPr>
        <w:spacing w:line="360" w:lineRule="auto"/>
        <w:ind w:firstLine="482" w:firstLineChars="200"/>
        <w:rPr>
          <w:rFonts w:hint="eastAsia" w:ascii="宋体" w:hAnsi="宋体"/>
          <w:b/>
          <w:color w:val="auto"/>
          <w:sz w:val="24"/>
          <w:highlight w:val="none"/>
        </w:rPr>
      </w:pPr>
    </w:p>
    <w:p w14:paraId="326AAF82">
      <w:pPr>
        <w:widowControl/>
        <w:shd w:val="clear" w:color="auto" w:fill="FFFFFF"/>
        <w:spacing w:line="360" w:lineRule="auto"/>
        <w:rPr>
          <w:rFonts w:hint="eastAsia" w:asciiTheme="majorEastAsia" w:hAnsiTheme="majorEastAsia" w:eastAsiaTheme="majorEastAsia" w:cstheme="majorEastAsia"/>
          <w:b/>
          <w:bCs/>
          <w:color w:val="auto"/>
          <w:highlight w:val="none"/>
        </w:rPr>
      </w:pPr>
    </w:p>
    <w:p w14:paraId="4A21EBF2">
      <w:pPr>
        <w:pBdr>
          <w:top w:val="none" w:color="000000" w:sz="0" w:space="0"/>
          <w:left w:val="none" w:color="000000" w:sz="0" w:space="0"/>
          <w:bottom w:val="none" w:color="000000" w:sz="0" w:space="0"/>
          <w:right w:val="none" w:color="000000" w:sz="0" w:space="0"/>
        </w:pBdr>
        <w:spacing w:before="240" w:after="240" w:line="85" w:lineRule="atLeast"/>
        <w:ind w:firstLine="422"/>
        <w:jc w:val="center"/>
        <w:rPr>
          <w:color w:val="auto"/>
          <w:highlight w:val="none"/>
        </w:rPr>
      </w:pPr>
      <w:r>
        <w:rPr>
          <w:color w:val="auto"/>
          <w:highlight w:val="none"/>
        </w:rPr>
        <w:br w:type="page" w:clear="all"/>
      </w:r>
    </w:p>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14:paraId="7AAA8FD4">
      <w:pPr>
        <w:numPr>
          <w:ilvl w:val="0"/>
          <w:numId w:val="3"/>
        </w:numPr>
        <w:jc w:val="center"/>
        <w:outlineLvl w:val="0"/>
        <w:rPr>
          <w:rFonts w:hint="eastAsia" w:asciiTheme="majorEastAsia" w:hAnsiTheme="majorEastAsia" w:eastAsiaTheme="majorEastAsia" w:cstheme="majorEastAsia"/>
          <w:color w:val="auto"/>
          <w:sz w:val="32"/>
          <w:szCs w:val="32"/>
          <w:highlight w:val="none"/>
        </w:rPr>
      </w:pPr>
      <w:bookmarkStart w:id="306" w:name="_Toc25333"/>
      <w:r>
        <w:rPr>
          <w:rFonts w:hint="eastAsia" w:asciiTheme="majorEastAsia" w:hAnsiTheme="majorEastAsia" w:eastAsiaTheme="majorEastAsia" w:cstheme="majorEastAsia"/>
          <w:color w:val="auto"/>
          <w:sz w:val="32"/>
          <w:szCs w:val="32"/>
          <w:highlight w:val="none"/>
        </w:rPr>
        <w:t>采购需求</w:t>
      </w:r>
      <w:bookmarkEnd w:id="306"/>
    </w:p>
    <w:p w14:paraId="3399069B">
      <w:pPr>
        <w:pStyle w:val="2"/>
        <w:pageBreakBefore w:val="0"/>
        <w:numPr>
          <w:ilvl w:val="0"/>
          <w:numId w:val="0"/>
        </w:numPr>
        <w:kinsoku/>
        <w:wordWrap/>
        <w:overflowPunct/>
        <w:topLinePunct w:val="0"/>
        <w:autoSpaceDE/>
        <w:autoSpaceDN/>
        <w:bidi w:val="0"/>
        <w:spacing w:before="0" w:after="0" w:line="480" w:lineRule="exact"/>
        <w:ind w:leftChars="0"/>
        <w:textAlignment w:val="auto"/>
        <w:rPr>
          <w:rFonts w:hint="eastAsia" w:ascii="宋体" w:hAnsi="宋体" w:eastAsia="宋体" w:cs="宋体"/>
          <w:color w:val="auto"/>
          <w:sz w:val="24"/>
          <w:szCs w:val="24"/>
        </w:rPr>
      </w:pPr>
      <w:bookmarkStart w:id="307" w:name="_Toc19231"/>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项目背景</w:t>
      </w:r>
    </w:p>
    <w:p w14:paraId="3F8D4EF0">
      <w:pPr>
        <w:pageBreakBefore w:val="0"/>
        <w:kinsoku/>
        <w:wordWrap/>
        <w:overflowPunct/>
        <w:topLinePunct w:val="0"/>
        <w:autoSpaceDE/>
        <w:autoSpaceDN/>
        <w:bidi w:val="0"/>
        <w:spacing w:line="480" w:lineRule="exact"/>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根据泰兴市政府公立医院可持续发展行动方案、</w:t>
      </w:r>
      <w:r>
        <w:rPr>
          <w:rFonts w:hint="eastAsia" w:ascii="宋体" w:hAnsi="宋体" w:eastAsia="宋体" w:cs="宋体"/>
          <w:color w:val="auto"/>
          <w:kern w:val="0"/>
          <w:sz w:val="24"/>
          <w:szCs w:val="24"/>
        </w:rPr>
        <w:t>江苏省三级医院评审细则、江苏省急诊科建设规范等文件</w:t>
      </w:r>
      <w:r>
        <w:rPr>
          <w:rFonts w:hint="eastAsia" w:ascii="宋体" w:hAnsi="宋体" w:eastAsia="宋体" w:cs="宋体"/>
          <w:color w:val="auto"/>
          <w:sz w:val="24"/>
          <w:szCs w:val="24"/>
        </w:rPr>
        <w:t>要求，结合医院发展现状</w:t>
      </w:r>
      <w:r>
        <w:rPr>
          <w:rFonts w:hint="eastAsia" w:ascii="宋体" w:hAnsi="宋体" w:eastAsia="宋体" w:cs="宋体"/>
          <w:color w:val="auto"/>
          <w:sz w:val="24"/>
          <w:szCs w:val="24"/>
        </w:rPr>
        <w:t>，需要通过上线卒中胸痛信息系统，实现</w:t>
      </w:r>
      <w:r>
        <w:rPr>
          <w:rFonts w:hint="eastAsia" w:ascii="宋体" w:hAnsi="宋体" w:eastAsia="宋体" w:cs="宋体"/>
          <w:color w:val="auto"/>
          <w:kern w:val="0"/>
          <w:sz w:val="24"/>
          <w:szCs w:val="24"/>
        </w:rPr>
        <w:t>建立</w:t>
      </w:r>
      <w:r>
        <w:rPr>
          <w:rFonts w:hint="eastAsia" w:ascii="宋体" w:hAnsi="宋体" w:eastAsia="宋体" w:cs="宋体"/>
          <w:color w:val="auto"/>
          <w:sz w:val="24"/>
          <w:szCs w:val="24"/>
        </w:rPr>
        <w:t>急诊预检分诊体系，规范</w:t>
      </w:r>
      <w:r>
        <w:rPr>
          <w:rFonts w:hint="eastAsia" w:ascii="宋体" w:hAnsi="宋体" w:eastAsia="宋体" w:cs="宋体"/>
          <w:color w:val="auto"/>
          <w:kern w:val="0"/>
          <w:sz w:val="24"/>
          <w:szCs w:val="24"/>
        </w:rPr>
        <w:t>分级诊疗秩序，卒中、胸痛两大中心按照国家认证标准进行建设，审核校验数据后，实现上报国家或省平台的卒中胸痛中心数据填报。</w:t>
      </w:r>
    </w:p>
    <w:p w14:paraId="686AD350">
      <w:pPr>
        <w:pStyle w:val="2"/>
        <w:pageBreakBefore w:val="0"/>
        <w:numPr>
          <w:ilvl w:val="0"/>
          <w:numId w:val="0"/>
        </w:numPr>
        <w:kinsoku/>
        <w:wordWrap/>
        <w:overflowPunct/>
        <w:topLinePunct w:val="0"/>
        <w:autoSpaceDE/>
        <w:autoSpaceDN/>
        <w:bidi w:val="0"/>
        <w:spacing w:before="0" w:after="0" w:line="480" w:lineRule="exact"/>
        <w:ind w:left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建设目标</w:t>
      </w:r>
    </w:p>
    <w:p w14:paraId="26F5B319">
      <w:pPr>
        <w:pageBreakBefore w:val="0"/>
        <w:kinsoku/>
        <w:wordWrap/>
        <w:overflowPunct/>
        <w:topLinePunct w:val="0"/>
        <w:autoSpaceDE/>
        <w:autoSpaceDN/>
        <w:bidi w:val="0"/>
        <w:spacing w:line="480" w:lineRule="exact"/>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卒中胸痛信息系统需建设先进的、符合分级诊疗秩序的预检分诊系统；</w:t>
      </w:r>
      <w:r>
        <w:rPr>
          <w:rFonts w:hint="eastAsia" w:ascii="宋体" w:hAnsi="宋体" w:eastAsia="宋体" w:cs="宋体"/>
          <w:color w:val="auto"/>
          <w:kern w:val="0"/>
          <w:sz w:val="24"/>
          <w:szCs w:val="24"/>
        </w:rPr>
        <w:t>建立符合验收标准的卒中、胸痛全流程数据管理系统；建设统一的时间同步管理系统，规范准确采集两大中心的全流程各节点时间；充分与现有HIS、LIS、PACS、院前急救、上报平台等系统对接，实现数据互联互通。</w:t>
      </w:r>
    </w:p>
    <w:p w14:paraId="37DD516C">
      <w:pPr>
        <w:pStyle w:val="2"/>
        <w:keepNext/>
        <w:keepLines/>
        <w:pageBreakBefore w:val="0"/>
        <w:widowControl w:val="0"/>
        <w:numPr>
          <w:ilvl w:val="0"/>
          <w:numId w:val="0"/>
        </w:numPr>
        <w:kinsoku/>
        <w:wordWrap/>
        <w:overflowPunct/>
        <w:topLinePunct w:val="0"/>
        <w:autoSpaceDE/>
        <w:autoSpaceDN/>
        <w:bidi w:val="0"/>
        <w:adjustRightInd/>
        <w:snapToGrid/>
        <w:spacing w:before="0" w:after="0" w:line="480" w:lineRule="exact"/>
        <w:ind w:leftChars="0"/>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lang w:val="en-US" w:eastAsia="zh-CN"/>
        </w:rPr>
        <w:t>三、</w:t>
      </w:r>
      <w:r>
        <w:rPr>
          <w:rFonts w:hint="eastAsia" w:ascii="宋体" w:hAnsi="宋体" w:eastAsia="宋体" w:cs="宋体"/>
          <w:b w:val="0"/>
          <w:color w:val="auto"/>
          <w:sz w:val="24"/>
          <w:szCs w:val="24"/>
        </w:rPr>
        <w:t xml:space="preserve">采购内容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075"/>
        <w:gridCol w:w="559"/>
        <w:gridCol w:w="587"/>
        <w:gridCol w:w="1350"/>
        <w:gridCol w:w="4453"/>
      </w:tblGrid>
      <w:tr w14:paraId="5B474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tcPr>
          <w:p w14:paraId="64E99CF4">
            <w:pPr>
              <w:pageBreakBefore w:val="0"/>
              <w:tabs>
                <w:tab w:val="left" w:pos="0"/>
              </w:tabs>
              <w:kinsoku/>
              <w:wordWrap/>
              <w:overflowPunct/>
              <w:topLinePunct w:val="0"/>
              <w:autoSpaceDE/>
              <w:autoSpaceDN/>
              <w:bidi w:val="0"/>
              <w:adjustRightInd w:val="0"/>
              <w:snapToGrid w:val="0"/>
              <w:spacing w:line="480" w:lineRule="exact"/>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075" w:type="dxa"/>
          </w:tcPr>
          <w:p w14:paraId="66138964">
            <w:pPr>
              <w:pageBreakBefore w:val="0"/>
              <w:tabs>
                <w:tab w:val="left" w:pos="0"/>
              </w:tabs>
              <w:kinsoku/>
              <w:wordWrap/>
              <w:overflowPunct/>
              <w:topLinePunct w:val="0"/>
              <w:autoSpaceDE/>
              <w:autoSpaceDN/>
              <w:bidi w:val="0"/>
              <w:adjustRightInd w:val="0"/>
              <w:snapToGrid w:val="0"/>
              <w:spacing w:line="480" w:lineRule="exact"/>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559" w:type="dxa"/>
          </w:tcPr>
          <w:p w14:paraId="3A3EF72B">
            <w:pPr>
              <w:pageBreakBefore w:val="0"/>
              <w:tabs>
                <w:tab w:val="left" w:pos="0"/>
              </w:tabs>
              <w:kinsoku/>
              <w:wordWrap/>
              <w:overflowPunct/>
              <w:topLinePunct w:val="0"/>
              <w:autoSpaceDE/>
              <w:autoSpaceDN/>
              <w:bidi w:val="0"/>
              <w:adjustRightInd w:val="0"/>
              <w:snapToGrid w:val="0"/>
              <w:spacing w:line="480" w:lineRule="exact"/>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c>
          <w:tcPr>
            <w:tcW w:w="587" w:type="dxa"/>
          </w:tcPr>
          <w:p w14:paraId="23CE3C03">
            <w:pPr>
              <w:pageBreakBefore w:val="0"/>
              <w:tabs>
                <w:tab w:val="left" w:pos="0"/>
              </w:tabs>
              <w:kinsoku/>
              <w:wordWrap/>
              <w:overflowPunct/>
              <w:topLinePunct w:val="0"/>
              <w:autoSpaceDE/>
              <w:autoSpaceDN/>
              <w:bidi w:val="0"/>
              <w:adjustRightInd w:val="0"/>
              <w:snapToGrid w:val="0"/>
              <w:spacing w:line="480" w:lineRule="exact"/>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1350" w:type="dxa"/>
          </w:tcPr>
          <w:p w14:paraId="7AD5EC45">
            <w:pPr>
              <w:pageBreakBefore w:val="0"/>
              <w:tabs>
                <w:tab w:val="left" w:pos="0"/>
              </w:tabs>
              <w:kinsoku/>
              <w:wordWrap/>
              <w:overflowPunct/>
              <w:topLinePunct w:val="0"/>
              <w:autoSpaceDE/>
              <w:autoSpaceDN/>
              <w:bidi w:val="0"/>
              <w:adjustRightInd w:val="0"/>
              <w:snapToGrid w:val="0"/>
              <w:spacing w:line="480" w:lineRule="exact"/>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项目要求</w:t>
            </w:r>
          </w:p>
        </w:tc>
        <w:tc>
          <w:tcPr>
            <w:tcW w:w="4453" w:type="dxa"/>
          </w:tcPr>
          <w:p w14:paraId="6A402A43">
            <w:pPr>
              <w:pageBreakBefore w:val="0"/>
              <w:tabs>
                <w:tab w:val="left" w:pos="0"/>
              </w:tabs>
              <w:kinsoku/>
              <w:wordWrap/>
              <w:overflowPunct/>
              <w:topLinePunct w:val="0"/>
              <w:autoSpaceDE/>
              <w:autoSpaceDN/>
              <w:bidi w:val="0"/>
              <w:adjustRightInd w:val="0"/>
              <w:snapToGrid w:val="0"/>
              <w:spacing w:line="480" w:lineRule="exact"/>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7AE0F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trPr>
        <w:tc>
          <w:tcPr>
            <w:tcW w:w="0" w:type="auto"/>
          </w:tcPr>
          <w:p w14:paraId="5922B82A">
            <w:pPr>
              <w:pageBreakBefore w:val="0"/>
              <w:tabs>
                <w:tab w:val="left" w:pos="0"/>
              </w:tabs>
              <w:kinsoku/>
              <w:wordWrap/>
              <w:overflowPunct/>
              <w:topLinePunct w:val="0"/>
              <w:autoSpaceDE/>
              <w:autoSpaceDN/>
              <w:bidi w:val="0"/>
              <w:adjustRightInd w:val="0"/>
              <w:snapToGrid w:val="0"/>
              <w:spacing w:line="480" w:lineRule="exact"/>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075" w:type="dxa"/>
          </w:tcPr>
          <w:p w14:paraId="4CB9B053">
            <w:pPr>
              <w:pageBreakBefore w:val="0"/>
              <w:tabs>
                <w:tab w:val="left" w:pos="0"/>
              </w:tabs>
              <w:kinsoku/>
              <w:wordWrap/>
              <w:overflowPunct/>
              <w:topLinePunct w:val="0"/>
              <w:autoSpaceDE/>
              <w:autoSpaceDN/>
              <w:bidi w:val="0"/>
              <w:adjustRightInd w:val="0"/>
              <w:snapToGrid w:val="0"/>
              <w:spacing w:line="480" w:lineRule="exact"/>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卒中胸痛信息系统</w:t>
            </w:r>
          </w:p>
        </w:tc>
        <w:tc>
          <w:tcPr>
            <w:tcW w:w="559" w:type="dxa"/>
          </w:tcPr>
          <w:p w14:paraId="481DC2E5">
            <w:pPr>
              <w:pageBreakBefore w:val="0"/>
              <w:tabs>
                <w:tab w:val="left" w:pos="0"/>
              </w:tabs>
              <w:kinsoku/>
              <w:wordWrap/>
              <w:overflowPunct/>
              <w:topLinePunct w:val="0"/>
              <w:autoSpaceDE/>
              <w:autoSpaceDN/>
              <w:bidi w:val="0"/>
              <w:adjustRightInd w:val="0"/>
              <w:snapToGrid w:val="0"/>
              <w:spacing w:line="480" w:lineRule="exact"/>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w:t>
            </w:r>
          </w:p>
        </w:tc>
        <w:tc>
          <w:tcPr>
            <w:tcW w:w="587" w:type="dxa"/>
          </w:tcPr>
          <w:p w14:paraId="16F65901">
            <w:pPr>
              <w:pageBreakBefore w:val="0"/>
              <w:tabs>
                <w:tab w:val="left" w:pos="0"/>
              </w:tabs>
              <w:kinsoku/>
              <w:wordWrap/>
              <w:overflowPunct/>
              <w:topLinePunct w:val="0"/>
              <w:autoSpaceDE/>
              <w:autoSpaceDN/>
              <w:bidi w:val="0"/>
              <w:adjustRightInd w:val="0"/>
              <w:snapToGrid w:val="0"/>
              <w:spacing w:line="480" w:lineRule="exact"/>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350" w:type="dxa"/>
          </w:tcPr>
          <w:p w14:paraId="6869FC1F">
            <w:pPr>
              <w:pageBreakBefore w:val="0"/>
              <w:tabs>
                <w:tab w:val="left" w:pos="0"/>
              </w:tabs>
              <w:kinsoku/>
              <w:wordWrap/>
              <w:overflowPunct/>
              <w:topLinePunct w:val="0"/>
              <w:autoSpaceDE/>
              <w:autoSpaceDN/>
              <w:bidi w:val="0"/>
              <w:adjustRightInd w:val="0"/>
              <w:snapToGrid w:val="0"/>
              <w:spacing w:line="480" w:lineRule="exact"/>
              <w:ind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详见下文具体要求</w:t>
            </w:r>
          </w:p>
        </w:tc>
        <w:tc>
          <w:tcPr>
            <w:tcW w:w="4453" w:type="dxa"/>
          </w:tcPr>
          <w:p w14:paraId="394A40CA">
            <w:pPr>
              <w:pageBreakBefore w:val="0"/>
              <w:numPr>
                <w:ilvl w:val="0"/>
                <w:numId w:val="4"/>
              </w:numPr>
              <w:kinsoku/>
              <w:wordWrap/>
              <w:overflowPunct/>
              <w:topLinePunct w:val="0"/>
              <w:autoSpaceDE/>
              <w:autoSpaceDN/>
              <w:bidi w:val="0"/>
              <w:spacing w:line="480" w:lineRule="exact"/>
              <w:ind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投标报价包含院内软件接口对接费用。</w:t>
            </w:r>
          </w:p>
          <w:p w14:paraId="73B607F4">
            <w:pPr>
              <w:pageBreakBefore w:val="0"/>
              <w:numPr>
                <w:ilvl w:val="0"/>
                <w:numId w:val="4"/>
              </w:numPr>
              <w:kinsoku/>
              <w:wordWrap/>
              <w:overflowPunct/>
              <w:topLinePunct w:val="0"/>
              <w:autoSpaceDE/>
              <w:autoSpaceDN/>
              <w:bidi w:val="0"/>
              <w:spacing w:line="480" w:lineRule="exact"/>
              <w:ind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投标报价需单独注明免费维护期后每年维护费（维护费不得高于投标价7%，维护费应包含本项目软件及相关院内软件接口的维保服务）。</w:t>
            </w:r>
          </w:p>
        </w:tc>
      </w:tr>
    </w:tbl>
    <w:p w14:paraId="6FDC33A0">
      <w:pPr>
        <w:pStyle w:val="2"/>
        <w:keepNext/>
        <w:keepLines/>
        <w:pageBreakBefore w:val="0"/>
        <w:widowControl w:val="0"/>
        <w:numPr>
          <w:ilvl w:val="0"/>
          <w:numId w:val="0"/>
        </w:numPr>
        <w:kinsoku/>
        <w:wordWrap/>
        <w:overflowPunct/>
        <w:topLinePunct w:val="0"/>
        <w:autoSpaceDE/>
        <w:autoSpaceDN/>
        <w:bidi w:val="0"/>
        <w:adjustRightInd/>
        <w:snapToGrid/>
        <w:spacing w:before="0" w:after="0" w:line="480" w:lineRule="exact"/>
        <w:ind w:leftChars="0"/>
        <w:textAlignment w:val="auto"/>
        <w:rPr>
          <w:rFonts w:hint="eastAsia" w:ascii="宋体" w:hAnsi="宋体" w:eastAsia="宋体" w:cs="宋体"/>
          <w:b w:val="0"/>
          <w:color w:val="auto"/>
          <w:kern w:val="0"/>
          <w:sz w:val="24"/>
          <w:szCs w:val="24"/>
        </w:rPr>
      </w:pPr>
      <w:r>
        <w:rPr>
          <w:rFonts w:hint="eastAsia" w:ascii="宋体" w:hAnsi="宋体" w:eastAsia="宋体" w:cs="宋体"/>
          <w:b w:val="0"/>
          <w:color w:val="auto"/>
          <w:kern w:val="0"/>
          <w:sz w:val="24"/>
          <w:szCs w:val="24"/>
          <w:lang w:val="en-US" w:eastAsia="zh-CN"/>
        </w:rPr>
        <w:t>四、</w:t>
      </w:r>
      <w:r>
        <w:rPr>
          <w:rFonts w:hint="eastAsia" w:ascii="宋体" w:hAnsi="宋体" w:eastAsia="宋体" w:cs="宋体"/>
          <w:b w:val="0"/>
          <w:color w:val="auto"/>
          <w:kern w:val="0"/>
          <w:sz w:val="24"/>
          <w:szCs w:val="24"/>
        </w:rPr>
        <w:t>项目要求</w:t>
      </w:r>
    </w:p>
    <w:p w14:paraId="40A06D43">
      <w:pPr>
        <w:pStyle w:val="2"/>
        <w:keepNext/>
        <w:keepLines/>
        <w:pageBreakBefore w:val="0"/>
        <w:widowControl w:val="0"/>
        <w:kinsoku/>
        <w:wordWrap/>
        <w:overflowPunct/>
        <w:topLinePunct w:val="0"/>
        <w:autoSpaceDE/>
        <w:autoSpaceDN/>
        <w:bidi w:val="0"/>
        <w:adjustRightInd/>
        <w:snapToGrid/>
        <w:spacing w:before="0" w:after="0" w:line="480" w:lineRule="exact"/>
        <w:textAlignment w:val="auto"/>
        <w:rPr>
          <w:rFonts w:hint="eastAsia" w:ascii="宋体" w:hAnsi="宋体" w:eastAsia="宋体" w:cs="宋体"/>
          <w:b w:val="0"/>
          <w:color w:val="auto"/>
          <w:kern w:val="0"/>
          <w:sz w:val="24"/>
          <w:szCs w:val="24"/>
        </w:rPr>
      </w:pPr>
      <w:r>
        <w:rPr>
          <w:rFonts w:hint="eastAsia" w:ascii="宋体" w:hAnsi="宋体" w:eastAsia="宋体" w:cs="宋体"/>
          <w:b w:val="0"/>
          <w:color w:val="auto"/>
          <w:kern w:val="0"/>
          <w:sz w:val="24"/>
          <w:szCs w:val="24"/>
        </w:rPr>
        <w:t>预检分诊系统</w:t>
      </w:r>
    </w:p>
    <w:tbl>
      <w:tblPr>
        <w:tblStyle w:val="26"/>
        <w:tblW w:w="8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128"/>
        <w:gridCol w:w="1285"/>
        <w:gridCol w:w="4928"/>
        <w:gridCol w:w="535"/>
        <w:gridCol w:w="498"/>
      </w:tblGrid>
      <w:tr w14:paraId="31959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562" w:type="dxa"/>
            <w:shd w:val="clear" w:color="auto" w:fill="auto"/>
            <w:noWrap/>
            <w:vAlign w:val="center"/>
          </w:tcPr>
          <w:p w14:paraId="45BA207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序号</w:t>
            </w:r>
          </w:p>
        </w:tc>
        <w:tc>
          <w:tcPr>
            <w:tcW w:w="7341" w:type="dxa"/>
            <w:gridSpan w:val="3"/>
            <w:shd w:val="clear" w:color="auto" w:fill="auto"/>
            <w:vAlign w:val="center"/>
          </w:tcPr>
          <w:p w14:paraId="3354BC6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详细参数</w:t>
            </w:r>
          </w:p>
        </w:tc>
        <w:tc>
          <w:tcPr>
            <w:tcW w:w="535" w:type="dxa"/>
            <w:shd w:val="clear" w:color="auto" w:fill="auto"/>
            <w:noWrap/>
            <w:vAlign w:val="center"/>
          </w:tcPr>
          <w:p w14:paraId="61C4564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数量</w:t>
            </w:r>
          </w:p>
        </w:tc>
        <w:tc>
          <w:tcPr>
            <w:tcW w:w="498" w:type="dxa"/>
            <w:shd w:val="clear" w:color="auto" w:fill="auto"/>
            <w:noWrap/>
            <w:vAlign w:val="center"/>
          </w:tcPr>
          <w:p w14:paraId="492DC80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单位</w:t>
            </w:r>
          </w:p>
        </w:tc>
      </w:tr>
      <w:tr w14:paraId="62C30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06DABD0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1128" w:type="dxa"/>
            <w:vMerge w:val="restart"/>
            <w:shd w:val="clear" w:color="000000" w:fill="FFFFFF"/>
            <w:vAlign w:val="center"/>
          </w:tcPr>
          <w:p w14:paraId="2F4FFFB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1．预检分诊系统</w:t>
            </w:r>
          </w:p>
        </w:tc>
        <w:tc>
          <w:tcPr>
            <w:tcW w:w="1285" w:type="dxa"/>
            <w:vMerge w:val="restart"/>
            <w:shd w:val="clear" w:color="000000" w:fill="FFFFFF"/>
            <w:noWrap/>
            <w:vAlign w:val="center"/>
          </w:tcPr>
          <w:p w14:paraId="03546E2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1.1患者建档</w:t>
            </w:r>
          </w:p>
        </w:tc>
        <w:tc>
          <w:tcPr>
            <w:tcW w:w="4928" w:type="dxa"/>
            <w:shd w:val="clear" w:color="000000" w:fill="FFFFFF"/>
            <w:vAlign w:val="center"/>
          </w:tcPr>
          <w:p w14:paraId="0646B44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1.支持直接通过读取身份证、医保卡、就诊卡等方式快速获取身份信息；</w:t>
            </w:r>
          </w:p>
        </w:tc>
        <w:tc>
          <w:tcPr>
            <w:tcW w:w="535" w:type="dxa"/>
            <w:shd w:val="clear" w:color="auto" w:fill="auto"/>
            <w:noWrap/>
            <w:vAlign w:val="center"/>
          </w:tcPr>
          <w:p w14:paraId="6A502592">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25AD6B0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55DDF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0252A06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w:t>
            </w:r>
          </w:p>
        </w:tc>
        <w:tc>
          <w:tcPr>
            <w:tcW w:w="1128" w:type="dxa"/>
            <w:vMerge w:val="continue"/>
            <w:vAlign w:val="center"/>
          </w:tcPr>
          <w:p w14:paraId="64565F1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1037A70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7F09159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2.支持录入患者身份信息、发病时间、来院方式、主诉等内容；</w:t>
            </w:r>
          </w:p>
        </w:tc>
        <w:tc>
          <w:tcPr>
            <w:tcW w:w="535" w:type="dxa"/>
            <w:shd w:val="clear" w:color="auto" w:fill="auto"/>
            <w:noWrap/>
            <w:vAlign w:val="center"/>
          </w:tcPr>
          <w:p w14:paraId="2C2664B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10B21F3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C4BA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1225E06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w:t>
            </w:r>
          </w:p>
        </w:tc>
        <w:tc>
          <w:tcPr>
            <w:tcW w:w="1128" w:type="dxa"/>
            <w:vMerge w:val="continue"/>
            <w:vAlign w:val="center"/>
          </w:tcPr>
          <w:p w14:paraId="0604FC4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16D4586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379AB75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3.支持输入患者姓名/身份证号/病历号/卡号，通过接口，从HIS调取患者历史数据；</w:t>
            </w:r>
          </w:p>
        </w:tc>
        <w:tc>
          <w:tcPr>
            <w:tcW w:w="535" w:type="dxa"/>
            <w:shd w:val="clear" w:color="auto" w:fill="auto"/>
            <w:noWrap/>
            <w:vAlign w:val="center"/>
          </w:tcPr>
          <w:p w14:paraId="4491927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33BD46F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EFAB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2" w:type="dxa"/>
            <w:shd w:val="clear" w:color="auto" w:fill="auto"/>
            <w:noWrap/>
            <w:vAlign w:val="center"/>
          </w:tcPr>
          <w:p w14:paraId="61954E0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w:t>
            </w:r>
          </w:p>
        </w:tc>
        <w:tc>
          <w:tcPr>
            <w:tcW w:w="1128" w:type="dxa"/>
            <w:vMerge w:val="continue"/>
            <w:vAlign w:val="center"/>
          </w:tcPr>
          <w:p w14:paraId="4F04130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3C6FB92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5CD3120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4.支持初诊患者分诊建档/登记；</w:t>
            </w:r>
          </w:p>
        </w:tc>
        <w:tc>
          <w:tcPr>
            <w:tcW w:w="535" w:type="dxa"/>
            <w:shd w:val="clear" w:color="auto" w:fill="auto"/>
            <w:noWrap/>
            <w:vAlign w:val="center"/>
          </w:tcPr>
          <w:p w14:paraId="2D204F7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2302F3B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8A98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3B45669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w:t>
            </w:r>
          </w:p>
        </w:tc>
        <w:tc>
          <w:tcPr>
            <w:tcW w:w="1128" w:type="dxa"/>
            <w:vMerge w:val="continue"/>
            <w:vAlign w:val="center"/>
          </w:tcPr>
          <w:p w14:paraId="1744113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7ACAE30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4FFA6D5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5.支持三无患者登记，系统自动分诊就诊号，患者信息更正后并同步到第三方系统，可继续按之前的就诊号继续就诊。</w:t>
            </w:r>
          </w:p>
        </w:tc>
        <w:tc>
          <w:tcPr>
            <w:tcW w:w="535" w:type="dxa"/>
            <w:shd w:val="clear" w:color="auto" w:fill="auto"/>
            <w:noWrap/>
            <w:vAlign w:val="center"/>
          </w:tcPr>
          <w:p w14:paraId="23CABB6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34C3FC7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4CC57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7B41AC2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w:t>
            </w:r>
          </w:p>
        </w:tc>
        <w:tc>
          <w:tcPr>
            <w:tcW w:w="1128" w:type="dxa"/>
            <w:vMerge w:val="continue"/>
            <w:vAlign w:val="center"/>
          </w:tcPr>
          <w:p w14:paraId="5FD3B87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7A86911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6B79E2A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6.支持婴幼儿和儿童急诊患者登记建档；</w:t>
            </w:r>
          </w:p>
        </w:tc>
        <w:tc>
          <w:tcPr>
            <w:tcW w:w="535" w:type="dxa"/>
            <w:shd w:val="clear" w:color="auto" w:fill="auto"/>
            <w:noWrap/>
            <w:vAlign w:val="center"/>
          </w:tcPr>
          <w:p w14:paraId="05C809F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7B889D5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44DFE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79FB3E6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w:t>
            </w:r>
          </w:p>
        </w:tc>
        <w:tc>
          <w:tcPr>
            <w:tcW w:w="1128" w:type="dxa"/>
            <w:vMerge w:val="continue"/>
            <w:vAlign w:val="center"/>
          </w:tcPr>
          <w:p w14:paraId="6866495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5A70B09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7F2E33B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7.支持群伤、批量抢救患者登记建档；</w:t>
            </w:r>
          </w:p>
        </w:tc>
        <w:tc>
          <w:tcPr>
            <w:tcW w:w="535" w:type="dxa"/>
            <w:shd w:val="clear" w:color="auto" w:fill="auto"/>
            <w:noWrap/>
            <w:vAlign w:val="center"/>
          </w:tcPr>
          <w:p w14:paraId="5C52DED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2A5EB0E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1F67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6121515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8</w:t>
            </w:r>
          </w:p>
        </w:tc>
        <w:tc>
          <w:tcPr>
            <w:tcW w:w="1128" w:type="dxa"/>
            <w:vMerge w:val="continue"/>
            <w:vAlign w:val="center"/>
          </w:tcPr>
          <w:p w14:paraId="2C21CB0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58DD8E2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07FE516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8.支持绿色通道患者标识，对于绿色通道等紧急抢救患者，允许选定床旁监护仪，自动采集体征数据，补录分诊信息；</w:t>
            </w:r>
          </w:p>
        </w:tc>
        <w:tc>
          <w:tcPr>
            <w:tcW w:w="535" w:type="dxa"/>
            <w:shd w:val="clear" w:color="auto" w:fill="auto"/>
            <w:noWrap/>
            <w:vAlign w:val="center"/>
          </w:tcPr>
          <w:p w14:paraId="00BA6E0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0C895C9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2654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24CA481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9</w:t>
            </w:r>
          </w:p>
        </w:tc>
        <w:tc>
          <w:tcPr>
            <w:tcW w:w="1128" w:type="dxa"/>
            <w:vMerge w:val="continue"/>
            <w:vAlign w:val="center"/>
          </w:tcPr>
          <w:p w14:paraId="3D3F924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306010A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097875B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9.支持</w:t>
            </w:r>
            <w:r>
              <w:rPr>
                <w:rFonts w:hint="eastAsia" w:ascii="宋体" w:hAnsi="宋体" w:eastAsia="宋体" w:cs="宋体"/>
                <w:color w:val="auto"/>
                <w:kern w:val="0"/>
                <w:sz w:val="24"/>
                <w:szCs w:val="24"/>
                <w:lang w:val="en-US" w:eastAsia="zh-CN"/>
                <w14:ligatures w14:val="none"/>
              </w:rPr>
              <w:t>对接绿色通道</w:t>
            </w:r>
            <w:r>
              <w:rPr>
                <w:rFonts w:hint="eastAsia" w:ascii="宋体" w:hAnsi="宋体" w:eastAsia="宋体" w:cs="宋体"/>
                <w:color w:val="auto"/>
                <w:kern w:val="0"/>
                <w:sz w:val="24"/>
                <w:szCs w:val="24"/>
                <w:lang w:val="en-US" w:eastAsia="zh-CN"/>
                <w14:ligatures w14:val="none"/>
              </w:rPr>
              <w:t>，实现</w:t>
            </w:r>
            <w:r>
              <w:rPr>
                <w:rFonts w:hint="eastAsia" w:ascii="宋体" w:hAnsi="宋体" w:eastAsia="宋体" w:cs="宋体"/>
                <w:color w:val="auto"/>
                <w:kern w:val="0"/>
                <w:sz w:val="24"/>
                <w:szCs w:val="24"/>
                <w14:ligatures w14:val="none"/>
              </w:rPr>
              <w:t>先</w:t>
            </w:r>
            <w:r>
              <w:rPr>
                <w:rFonts w:hint="eastAsia" w:ascii="宋体" w:hAnsi="宋体" w:eastAsia="宋体" w:cs="宋体"/>
                <w:color w:val="auto"/>
                <w:kern w:val="0"/>
                <w:sz w:val="24"/>
                <w:szCs w:val="24"/>
                <w:lang w:val="en-US" w:eastAsia="zh-CN"/>
                <w14:ligatures w14:val="none"/>
              </w:rPr>
              <w:t>诊疗</w:t>
            </w:r>
            <w:r>
              <w:rPr>
                <w:rFonts w:hint="eastAsia" w:ascii="宋体" w:hAnsi="宋体" w:eastAsia="宋体" w:cs="宋体"/>
                <w:color w:val="auto"/>
                <w:kern w:val="0"/>
                <w:sz w:val="24"/>
                <w:szCs w:val="24"/>
                <w14:ligatures w14:val="none"/>
              </w:rPr>
              <w:t>后付费</w:t>
            </w:r>
            <w:r>
              <w:rPr>
                <w:rFonts w:hint="eastAsia" w:ascii="宋体" w:hAnsi="宋体" w:eastAsia="宋体" w:cs="宋体"/>
                <w:color w:val="auto"/>
                <w:kern w:val="0"/>
                <w:sz w:val="24"/>
                <w:szCs w:val="24"/>
                <w14:ligatures w14:val="none"/>
              </w:rPr>
              <w:t>就诊模式；</w:t>
            </w:r>
          </w:p>
        </w:tc>
        <w:tc>
          <w:tcPr>
            <w:tcW w:w="535" w:type="dxa"/>
            <w:shd w:val="clear" w:color="auto" w:fill="auto"/>
            <w:noWrap/>
            <w:vAlign w:val="center"/>
          </w:tcPr>
          <w:p w14:paraId="19805EC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4C311A6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58DAC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6D7B329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10</w:t>
            </w:r>
          </w:p>
        </w:tc>
        <w:tc>
          <w:tcPr>
            <w:tcW w:w="1128" w:type="dxa"/>
            <w:vMerge w:val="continue"/>
            <w:vAlign w:val="center"/>
          </w:tcPr>
          <w:p w14:paraId="020CDC5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3AFF08D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03F36AD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10.对于120急救车病人，支持病人信息直接与院前急救信息对接；</w:t>
            </w:r>
          </w:p>
        </w:tc>
        <w:tc>
          <w:tcPr>
            <w:tcW w:w="535" w:type="dxa"/>
            <w:shd w:val="clear" w:color="auto" w:fill="auto"/>
            <w:noWrap/>
            <w:vAlign w:val="center"/>
          </w:tcPr>
          <w:p w14:paraId="7C62DC0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3382890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5B8EB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360AA1D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11</w:t>
            </w:r>
          </w:p>
        </w:tc>
        <w:tc>
          <w:tcPr>
            <w:tcW w:w="1128" w:type="dxa"/>
            <w:vMerge w:val="continue"/>
            <w:vAlign w:val="center"/>
          </w:tcPr>
          <w:p w14:paraId="53758F1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3A5EE98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600E8A9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11.支持绿色通道患者，标识患者类型，如胸痛、卒中、创伤、高危孕产妇、新生儿等绿色通道患者，支持先就诊后挂号缴费模式；</w:t>
            </w:r>
          </w:p>
        </w:tc>
        <w:tc>
          <w:tcPr>
            <w:tcW w:w="535" w:type="dxa"/>
            <w:shd w:val="clear" w:color="auto" w:fill="auto"/>
            <w:noWrap/>
            <w:vAlign w:val="center"/>
          </w:tcPr>
          <w:p w14:paraId="290A15A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47726CE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1C1A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71C1953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12</w:t>
            </w:r>
          </w:p>
        </w:tc>
        <w:tc>
          <w:tcPr>
            <w:tcW w:w="1128" w:type="dxa"/>
            <w:vMerge w:val="continue"/>
            <w:vAlign w:val="center"/>
          </w:tcPr>
          <w:p w14:paraId="19C66222">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2A30435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5AECBDC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12.系统支持标记病人去向。</w:t>
            </w:r>
          </w:p>
        </w:tc>
        <w:tc>
          <w:tcPr>
            <w:tcW w:w="535" w:type="dxa"/>
            <w:shd w:val="clear" w:color="auto" w:fill="auto"/>
            <w:noWrap/>
            <w:vAlign w:val="center"/>
          </w:tcPr>
          <w:p w14:paraId="3063C5C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70A5B28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2C2D4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303B2AE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13</w:t>
            </w:r>
          </w:p>
        </w:tc>
        <w:tc>
          <w:tcPr>
            <w:tcW w:w="1128" w:type="dxa"/>
            <w:vMerge w:val="continue"/>
            <w:vAlign w:val="center"/>
          </w:tcPr>
          <w:p w14:paraId="730B729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7C29300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2D504F2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13.预留120院前系统集成接口，后期根据院内建设免费对接，方便实现院前院内无缝衔接。</w:t>
            </w:r>
          </w:p>
        </w:tc>
        <w:tc>
          <w:tcPr>
            <w:tcW w:w="535" w:type="dxa"/>
            <w:shd w:val="clear" w:color="auto" w:fill="auto"/>
            <w:noWrap/>
            <w:vAlign w:val="center"/>
          </w:tcPr>
          <w:p w14:paraId="6F81E86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0DF3301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CC1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725DE9F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14</w:t>
            </w:r>
          </w:p>
        </w:tc>
        <w:tc>
          <w:tcPr>
            <w:tcW w:w="1128" w:type="dxa"/>
            <w:vMerge w:val="continue"/>
            <w:vAlign w:val="center"/>
          </w:tcPr>
          <w:p w14:paraId="69A2EFF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restart"/>
            <w:shd w:val="clear" w:color="000000" w:fill="FFFFFF"/>
            <w:noWrap/>
            <w:vAlign w:val="center"/>
          </w:tcPr>
          <w:p w14:paraId="320ADE1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1.2患者列表</w:t>
            </w:r>
          </w:p>
        </w:tc>
        <w:tc>
          <w:tcPr>
            <w:tcW w:w="4928" w:type="dxa"/>
            <w:shd w:val="clear" w:color="000000" w:fill="FFFFFF"/>
            <w:vAlign w:val="center"/>
          </w:tcPr>
          <w:p w14:paraId="602C2DA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1.支持病人的基本信息、分诊时间、就诊状态、来医院方式等信息的汇总列表，可根据各种条件进行查询及数据的导出；</w:t>
            </w:r>
          </w:p>
        </w:tc>
        <w:tc>
          <w:tcPr>
            <w:tcW w:w="535" w:type="dxa"/>
            <w:shd w:val="clear" w:color="auto" w:fill="auto"/>
            <w:noWrap/>
            <w:vAlign w:val="center"/>
          </w:tcPr>
          <w:p w14:paraId="0EEE97C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1C706CA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7267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562" w:type="dxa"/>
            <w:shd w:val="clear" w:color="auto" w:fill="auto"/>
            <w:noWrap/>
            <w:vAlign w:val="center"/>
          </w:tcPr>
          <w:p w14:paraId="583BDE7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15</w:t>
            </w:r>
          </w:p>
        </w:tc>
        <w:tc>
          <w:tcPr>
            <w:tcW w:w="1128" w:type="dxa"/>
            <w:vMerge w:val="continue"/>
            <w:vAlign w:val="center"/>
          </w:tcPr>
          <w:p w14:paraId="3F29C81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77D7BC3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6D2E837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2.支持按分 120病人、未分诊、再评估、就诊状态（未就诊、就诊中、已就诊）、分检科室、分诊去向、绿色通道病种、分诊时间段、姓名或身份证、主诉等条件查询病人。</w:t>
            </w:r>
          </w:p>
        </w:tc>
        <w:tc>
          <w:tcPr>
            <w:tcW w:w="535" w:type="dxa"/>
            <w:shd w:val="clear" w:color="auto" w:fill="auto"/>
            <w:noWrap/>
            <w:vAlign w:val="center"/>
          </w:tcPr>
          <w:p w14:paraId="00F0B5A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7768560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26C6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562" w:type="dxa"/>
            <w:shd w:val="clear" w:color="auto" w:fill="auto"/>
            <w:noWrap/>
            <w:vAlign w:val="center"/>
          </w:tcPr>
          <w:p w14:paraId="43430DF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16</w:t>
            </w:r>
          </w:p>
        </w:tc>
        <w:tc>
          <w:tcPr>
            <w:tcW w:w="1128" w:type="dxa"/>
            <w:vMerge w:val="continue"/>
            <w:vAlign w:val="center"/>
          </w:tcPr>
          <w:p w14:paraId="4111D56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35F947E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66643D9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3.支持修改，跳转到预检分级的页面，把已经预检登记相关信息进行展示，调出来进行修改。（对于病人分级、病人去向、分诊科室 信息修改要能保留修改痕迹）。</w:t>
            </w:r>
          </w:p>
        </w:tc>
        <w:tc>
          <w:tcPr>
            <w:tcW w:w="535" w:type="dxa"/>
            <w:shd w:val="clear" w:color="auto" w:fill="auto"/>
            <w:noWrap/>
            <w:vAlign w:val="center"/>
          </w:tcPr>
          <w:p w14:paraId="4394712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144E44C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4A5A7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1D72D2A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17</w:t>
            </w:r>
          </w:p>
        </w:tc>
        <w:tc>
          <w:tcPr>
            <w:tcW w:w="1128" w:type="dxa"/>
            <w:vMerge w:val="continue"/>
            <w:vAlign w:val="center"/>
          </w:tcPr>
          <w:p w14:paraId="4E49402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4CCD1BF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1621DE9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4.支持二次分诊评估功能，通过病人基本信息调出预检页面，病人基本信息默认填充，病人列表上只显示最新的一条再评估信息。</w:t>
            </w:r>
          </w:p>
        </w:tc>
        <w:tc>
          <w:tcPr>
            <w:tcW w:w="535" w:type="dxa"/>
            <w:shd w:val="clear" w:color="auto" w:fill="auto"/>
            <w:noWrap/>
            <w:vAlign w:val="center"/>
          </w:tcPr>
          <w:p w14:paraId="6F1CBDF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7573526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44756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2471FB1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18</w:t>
            </w:r>
          </w:p>
        </w:tc>
        <w:tc>
          <w:tcPr>
            <w:tcW w:w="1128" w:type="dxa"/>
            <w:vMerge w:val="continue"/>
            <w:vAlign w:val="center"/>
          </w:tcPr>
          <w:p w14:paraId="7C2C787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3B772B7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3FFBBEA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5.支持关联/解绑群体事件,把病人关联到群体事件上。</w:t>
            </w:r>
          </w:p>
        </w:tc>
        <w:tc>
          <w:tcPr>
            <w:tcW w:w="535" w:type="dxa"/>
            <w:shd w:val="clear" w:color="auto" w:fill="auto"/>
            <w:noWrap/>
            <w:vAlign w:val="center"/>
          </w:tcPr>
          <w:p w14:paraId="0231E8C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22CF9A2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E0FC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562" w:type="dxa"/>
            <w:shd w:val="clear" w:color="auto" w:fill="auto"/>
            <w:noWrap/>
            <w:vAlign w:val="center"/>
          </w:tcPr>
          <w:p w14:paraId="0361102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19</w:t>
            </w:r>
          </w:p>
        </w:tc>
        <w:tc>
          <w:tcPr>
            <w:tcW w:w="1128" w:type="dxa"/>
            <w:vMerge w:val="continue"/>
            <w:vAlign w:val="center"/>
          </w:tcPr>
          <w:p w14:paraId="32E46B5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387F7E6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1DBD36C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6.支持院前患者列表显示院前患者信息包括：院前分诊级别、院内是否已经分诊、姓名、车牌号、接车地址、呼救原因、初步诊断等。支持主动弹窗提醒有新的120患者，点击可查看120患者院前相关信息。</w:t>
            </w:r>
          </w:p>
        </w:tc>
        <w:tc>
          <w:tcPr>
            <w:tcW w:w="535" w:type="dxa"/>
            <w:shd w:val="clear" w:color="auto" w:fill="auto"/>
            <w:noWrap/>
            <w:vAlign w:val="center"/>
          </w:tcPr>
          <w:p w14:paraId="1665B68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5BE2E2B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4FA3B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7B5D50B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20</w:t>
            </w:r>
          </w:p>
        </w:tc>
        <w:tc>
          <w:tcPr>
            <w:tcW w:w="1128" w:type="dxa"/>
            <w:vMerge w:val="continue"/>
            <w:vAlign w:val="center"/>
          </w:tcPr>
          <w:p w14:paraId="6C80C1F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restart"/>
            <w:shd w:val="clear" w:color="000000" w:fill="FFFFFF"/>
            <w:noWrap/>
            <w:vAlign w:val="center"/>
          </w:tcPr>
          <w:p w14:paraId="17DAC23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1.3生命体征采集</w:t>
            </w:r>
          </w:p>
        </w:tc>
        <w:tc>
          <w:tcPr>
            <w:tcW w:w="4928" w:type="dxa"/>
            <w:shd w:val="clear" w:color="000000" w:fill="FFFFFF"/>
            <w:vAlign w:val="center"/>
          </w:tcPr>
          <w:p w14:paraId="030CCA0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1.支持对生命体征：意识、体温、心率、呼吸、血压、血氧饱和度、AVPU反应等内容的采集录入；</w:t>
            </w:r>
          </w:p>
        </w:tc>
        <w:tc>
          <w:tcPr>
            <w:tcW w:w="535" w:type="dxa"/>
            <w:shd w:val="clear" w:color="auto" w:fill="auto"/>
            <w:noWrap/>
            <w:vAlign w:val="center"/>
          </w:tcPr>
          <w:p w14:paraId="3B79F21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17C9E72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13E0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621F39C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21</w:t>
            </w:r>
          </w:p>
        </w:tc>
        <w:tc>
          <w:tcPr>
            <w:tcW w:w="1128" w:type="dxa"/>
            <w:vMerge w:val="continue"/>
            <w:vAlign w:val="center"/>
          </w:tcPr>
          <w:p w14:paraId="7B115A9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2C5019A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666F7D4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w:t>
            </w:r>
            <w:r>
              <w:rPr>
                <w:rFonts w:hint="eastAsia" w:ascii="宋体" w:hAnsi="宋体" w:eastAsia="宋体" w:cs="宋体"/>
                <w:color w:val="auto"/>
                <w:kern w:val="0"/>
                <w:sz w:val="24"/>
                <w:szCs w:val="24"/>
                <w14:ligatures w14:val="none"/>
              </w:rPr>
              <w:t>实现与仪器设备对接（此项指仪器设备能提供开放对接接口的情况下），自动采集</w:t>
            </w:r>
            <w:r>
              <w:rPr>
                <w:rFonts w:hint="eastAsia" w:ascii="宋体" w:hAnsi="宋体" w:eastAsia="宋体" w:cs="宋体"/>
                <w:color w:val="auto"/>
                <w:kern w:val="0"/>
                <w:sz w:val="24"/>
                <w:szCs w:val="24"/>
                <w14:ligatures w14:val="none"/>
              </w:rPr>
              <w:t>及直接录入两种生命体征数据采集方式；</w:t>
            </w:r>
          </w:p>
        </w:tc>
        <w:tc>
          <w:tcPr>
            <w:tcW w:w="535" w:type="dxa"/>
            <w:shd w:val="clear" w:color="auto" w:fill="auto"/>
            <w:noWrap/>
            <w:vAlign w:val="center"/>
          </w:tcPr>
          <w:p w14:paraId="5192F67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4F47898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5170C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6E6D1B0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22</w:t>
            </w:r>
          </w:p>
        </w:tc>
        <w:tc>
          <w:tcPr>
            <w:tcW w:w="1128" w:type="dxa"/>
            <w:vMerge w:val="continue"/>
            <w:vAlign w:val="center"/>
          </w:tcPr>
          <w:p w14:paraId="2A66903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3B1635A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7D0C3E6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3.支持对于偏离正常值范围的生命体征信息，进行红色、黄、绿颜色进行报警提醒；</w:t>
            </w:r>
          </w:p>
        </w:tc>
        <w:tc>
          <w:tcPr>
            <w:tcW w:w="535" w:type="dxa"/>
            <w:shd w:val="clear" w:color="auto" w:fill="auto"/>
            <w:noWrap/>
            <w:vAlign w:val="center"/>
          </w:tcPr>
          <w:p w14:paraId="100760C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7C9A665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8A4C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1F4B8F5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23</w:t>
            </w:r>
          </w:p>
        </w:tc>
        <w:tc>
          <w:tcPr>
            <w:tcW w:w="1128" w:type="dxa"/>
            <w:vMerge w:val="continue"/>
            <w:vAlign w:val="center"/>
          </w:tcPr>
          <w:p w14:paraId="4E94EA7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2C0D9A6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5AB4843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4.支持配置生命体征与预检分级级别的对应关系，当采集到生命体征后，可进行自动预检分级。</w:t>
            </w:r>
          </w:p>
        </w:tc>
        <w:tc>
          <w:tcPr>
            <w:tcW w:w="535" w:type="dxa"/>
            <w:shd w:val="clear" w:color="auto" w:fill="auto"/>
            <w:noWrap/>
            <w:vAlign w:val="center"/>
          </w:tcPr>
          <w:p w14:paraId="15579BD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01CAF39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3C45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1F946F5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24</w:t>
            </w:r>
          </w:p>
        </w:tc>
        <w:tc>
          <w:tcPr>
            <w:tcW w:w="1128" w:type="dxa"/>
            <w:vMerge w:val="continue"/>
            <w:vAlign w:val="center"/>
          </w:tcPr>
          <w:p w14:paraId="0C7A00D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071C4D2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62C3AE1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5.支持自定义生命体征分级推荐策略。</w:t>
            </w:r>
          </w:p>
        </w:tc>
        <w:tc>
          <w:tcPr>
            <w:tcW w:w="535" w:type="dxa"/>
            <w:shd w:val="clear" w:color="auto" w:fill="auto"/>
            <w:noWrap/>
            <w:vAlign w:val="center"/>
          </w:tcPr>
          <w:p w14:paraId="0BAEFFC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7282CE3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2204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4747AE3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25</w:t>
            </w:r>
          </w:p>
        </w:tc>
        <w:tc>
          <w:tcPr>
            <w:tcW w:w="1128" w:type="dxa"/>
            <w:vMerge w:val="continue"/>
            <w:vAlign w:val="center"/>
          </w:tcPr>
          <w:p w14:paraId="62F2BEC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restart"/>
            <w:shd w:val="clear" w:color="000000" w:fill="FFFFFF"/>
            <w:noWrap/>
            <w:vAlign w:val="center"/>
          </w:tcPr>
          <w:p w14:paraId="76FF797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1.4预检分级知识库</w:t>
            </w:r>
          </w:p>
        </w:tc>
        <w:tc>
          <w:tcPr>
            <w:tcW w:w="4928" w:type="dxa"/>
            <w:shd w:val="clear" w:color="000000" w:fill="FFFFFF"/>
            <w:vAlign w:val="center"/>
          </w:tcPr>
          <w:p w14:paraId="6B01136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1.内嵌病情分级知识库，提供常用主诉、判定依据集合；</w:t>
            </w:r>
          </w:p>
        </w:tc>
        <w:tc>
          <w:tcPr>
            <w:tcW w:w="535" w:type="dxa"/>
            <w:shd w:val="clear" w:color="auto" w:fill="auto"/>
            <w:noWrap/>
            <w:vAlign w:val="center"/>
          </w:tcPr>
          <w:p w14:paraId="4478511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1ABAC22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F2BC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7AEC3BE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26</w:t>
            </w:r>
          </w:p>
        </w:tc>
        <w:tc>
          <w:tcPr>
            <w:tcW w:w="1128" w:type="dxa"/>
            <w:vMerge w:val="continue"/>
            <w:vAlign w:val="center"/>
          </w:tcPr>
          <w:p w14:paraId="699677B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22C1FE5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096EB65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2.支持预检分级的颜色标识：红（Ⅰ）、橙（Ⅱ）、黄（Ⅲ）、绿（Ⅳ、Ⅴ）；</w:t>
            </w:r>
          </w:p>
        </w:tc>
        <w:tc>
          <w:tcPr>
            <w:tcW w:w="535" w:type="dxa"/>
            <w:shd w:val="clear" w:color="auto" w:fill="auto"/>
            <w:noWrap/>
            <w:vAlign w:val="center"/>
          </w:tcPr>
          <w:p w14:paraId="3AD0B962">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2E15169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7722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562" w:type="dxa"/>
            <w:shd w:val="clear" w:color="auto" w:fill="auto"/>
            <w:noWrap/>
            <w:vAlign w:val="center"/>
          </w:tcPr>
          <w:p w14:paraId="2D1B665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27</w:t>
            </w:r>
          </w:p>
        </w:tc>
        <w:tc>
          <w:tcPr>
            <w:tcW w:w="1128" w:type="dxa"/>
            <w:vMerge w:val="continue"/>
            <w:vAlign w:val="center"/>
          </w:tcPr>
          <w:p w14:paraId="2E6D44C2">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129D46D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076B61B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3.支持创伤、非创伤、小儿进行主诉标记；</w:t>
            </w:r>
          </w:p>
        </w:tc>
        <w:tc>
          <w:tcPr>
            <w:tcW w:w="535" w:type="dxa"/>
            <w:shd w:val="clear" w:color="auto" w:fill="auto"/>
            <w:noWrap/>
            <w:vAlign w:val="center"/>
          </w:tcPr>
          <w:p w14:paraId="0459E18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1545279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5F046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2594626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28</w:t>
            </w:r>
          </w:p>
        </w:tc>
        <w:tc>
          <w:tcPr>
            <w:tcW w:w="1128" w:type="dxa"/>
            <w:vMerge w:val="continue"/>
            <w:vAlign w:val="center"/>
          </w:tcPr>
          <w:p w14:paraId="526DECB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6B4F247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4D0A8B3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4.支持主诉依据按系统分类，如妇产科、心血管系统、神经系统、消化系统等，主诉按关键字进行搜索；</w:t>
            </w:r>
          </w:p>
        </w:tc>
        <w:tc>
          <w:tcPr>
            <w:tcW w:w="535" w:type="dxa"/>
            <w:shd w:val="clear" w:color="auto" w:fill="auto"/>
            <w:noWrap/>
            <w:vAlign w:val="center"/>
          </w:tcPr>
          <w:p w14:paraId="48F3B2C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60976DB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0B3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6685E19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29</w:t>
            </w:r>
          </w:p>
        </w:tc>
        <w:tc>
          <w:tcPr>
            <w:tcW w:w="1128" w:type="dxa"/>
            <w:vMerge w:val="continue"/>
            <w:vAlign w:val="center"/>
          </w:tcPr>
          <w:p w14:paraId="6572E792">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26585F5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7E9ABE5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5.支持输入部分主诉进行检索（含创伤、非创伤）；</w:t>
            </w:r>
          </w:p>
        </w:tc>
        <w:tc>
          <w:tcPr>
            <w:tcW w:w="535" w:type="dxa"/>
            <w:shd w:val="clear" w:color="auto" w:fill="auto"/>
            <w:noWrap/>
            <w:vAlign w:val="center"/>
          </w:tcPr>
          <w:p w14:paraId="1D49974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7192E46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8E1C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4173DFB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30</w:t>
            </w:r>
          </w:p>
        </w:tc>
        <w:tc>
          <w:tcPr>
            <w:tcW w:w="1128" w:type="dxa"/>
            <w:vMerge w:val="continue"/>
            <w:vAlign w:val="center"/>
          </w:tcPr>
          <w:p w14:paraId="7735600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49A959F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282A2F6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6.支持对已经选中的主诉内容进行删除，重新选择，支持选择多条主诉内容；</w:t>
            </w:r>
          </w:p>
        </w:tc>
        <w:tc>
          <w:tcPr>
            <w:tcW w:w="535" w:type="dxa"/>
            <w:shd w:val="clear" w:color="auto" w:fill="auto"/>
            <w:noWrap/>
            <w:vAlign w:val="center"/>
          </w:tcPr>
          <w:p w14:paraId="31B818D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3F1CB4F2">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9BD7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13BCAE82">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31</w:t>
            </w:r>
          </w:p>
        </w:tc>
        <w:tc>
          <w:tcPr>
            <w:tcW w:w="1128" w:type="dxa"/>
            <w:vMerge w:val="continue"/>
            <w:vAlign w:val="center"/>
          </w:tcPr>
          <w:p w14:paraId="452D051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734CE26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2C0217A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7.主诉内容支持自行配置，并且支持配置主诉内容对应的预检分级的级别，当采集到主诉内容后，可进行自动预检分级。</w:t>
            </w:r>
          </w:p>
        </w:tc>
        <w:tc>
          <w:tcPr>
            <w:tcW w:w="535" w:type="dxa"/>
            <w:shd w:val="clear" w:color="auto" w:fill="auto"/>
            <w:noWrap/>
            <w:vAlign w:val="center"/>
          </w:tcPr>
          <w:p w14:paraId="4F781CC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04EBD1C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4E434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778CE312">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32</w:t>
            </w:r>
          </w:p>
        </w:tc>
        <w:tc>
          <w:tcPr>
            <w:tcW w:w="1128" w:type="dxa"/>
            <w:vMerge w:val="continue"/>
            <w:vAlign w:val="center"/>
          </w:tcPr>
          <w:p w14:paraId="5479FE9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restart"/>
            <w:shd w:val="clear" w:color="000000" w:fill="FFFFFF"/>
            <w:noWrap/>
            <w:vAlign w:val="center"/>
          </w:tcPr>
          <w:p w14:paraId="428FDC1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1.5患者评分管理</w:t>
            </w:r>
          </w:p>
        </w:tc>
        <w:tc>
          <w:tcPr>
            <w:tcW w:w="4928" w:type="dxa"/>
            <w:shd w:val="clear" w:color="000000" w:fill="FFFFFF"/>
            <w:vAlign w:val="center"/>
          </w:tcPr>
          <w:p w14:paraId="66ECBE4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1.支持疼痛、GCS、MEWS、创伤（RTS)、WELLS、NIHSS等评分；</w:t>
            </w:r>
          </w:p>
        </w:tc>
        <w:tc>
          <w:tcPr>
            <w:tcW w:w="535" w:type="dxa"/>
            <w:shd w:val="clear" w:color="auto" w:fill="auto"/>
            <w:noWrap/>
            <w:vAlign w:val="center"/>
          </w:tcPr>
          <w:p w14:paraId="4958E47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1F8A7C6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116B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6DFD8A1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33</w:t>
            </w:r>
          </w:p>
        </w:tc>
        <w:tc>
          <w:tcPr>
            <w:tcW w:w="1128" w:type="dxa"/>
            <w:vMerge w:val="continue"/>
            <w:vAlign w:val="center"/>
          </w:tcPr>
          <w:p w14:paraId="74D8217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0C329C0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72B4671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2.支持查看历史评分记录信息，可通过趋势图形式进历次评分的趋势图展示；</w:t>
            </w:r>
          </w:p>
        </w:tc>
        <w:tc>
          <w:tcPr>
            <w:tcW w:w="535" w:type="dxa"/>
            <w:shd w:val="clear" w:color="auto" w:fill="auto"/>
            <w:noWrap/>
            <w:vAlign w:val="center"/>
          </w:tcPr>
          <w:p w14:paraId="20E3C69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163C413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E4CB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27111122">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34</w:t>
            </w:r>
          </w:p>
        </w:tc>
        <w:tc>
          <w:tcPr>
            <w:tcW w:w="1128" w:type="dxa"/>
            <w:vMerge w:val="continue"/>
            <w:vAlign w:val="center"/>
          </w:tcPr>
          <w:p w14:paraId="620B6E8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31EF90F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7CFF2DA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3.支持配置各个评分与预检分级级别的对应关系，当采集到评分后，可进行自动预检分级。</w:t>
            </w:r>
          </w:p>
        </w:tc>
        <w:tc>
          <w:tcPr>
            <w:tcW w:w="535" w:type="dxa"/>
            <w:shd w:val="clear" w:color="auto" w:fill="auto"/>
            <w:noWrap/>
            <w:vAlign w:val="center"/>
          </w:tcPr>
          <w:p w14:paraId="0B291A4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09FA5132">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206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18A4868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35</w:t>
            </w:r>
          </w:p>
        </w:tc>
        <w:tc>
          <w:tcPr>
            <w:tcW w:w="1128" w:type="dxa"/>
            <w:vMerge w:val="continue"/>
            <w:vAlign w:val="center"/>
          </w:tcPr>
          <w:p w14:paraId="4DFE1D1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restart"/>
            <w:shd w:val="clear" w:color="000000" w:fill="FFFFFF"/>
            <w:noWrap/>
            <w:vAlign w:val="center"/>
          </w:tcPr>
          <w:p w14:paraId="33E25D3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1.6群伤管理</w:t>
            </w:r>
          </w:p>
        </w:tc>
        <w:tc>
          <w:tcPr>
            <w:tcW w:w="4928" w:type="dxa"/>
            <w:shd w:val="clear" w:color="000000" w:fill="FFFFFF"/>
            <w:vAlign w:val="center"/>
          </w:tcPr>
          <w:p w14:paraId="343AE27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1.支持群体伤事件的管理，方便快速的批量创建病人，支持快速分诊单、腕带的打印。 </w:t>
            </w:r>
          </w:p>
        </w:tc>
        <w:tc>
          <w:tcPr>
            <w:tcW w:w="535" w:type="dxa"/>
            <w:shd w:val="clear" w:color="auto" w:fill="auto"/>
            <w:noWrap/>
            <w:vAlign w:val="center"/>
          </w:tcPr>
          <w:p w14:paraId="7307F4A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30EAF00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5A39A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562" w:type="dxa"/>
            <w:shd w:val="clear" w:color="auto" w:fill="auto"/>
            <w:noWrap/>
            <w:vAlign w:val="center"/>
          </w:tcPr>
          <w:p w14:paraId="38E4AE3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36</w:t>
            </w:r>
          </w:p>
        </w:tc>
        <w:tc>
          <w:tcPr>
            <w:tcW w:w="1128" w:type="dxa"/>
            <w:vMerge w:val="continue"/>
            <w:vAlign w:val="center"/>
          </w:tcPr>
          <w:p w14:paraId="163785A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5C48CFE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447273A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2.支持列表显示（时间、事件类型、事件名称、时间说明、事件人数），可按照时间进行过滤筛选查询；事件类型（中毒、暴力冲突、交通事故等）。 </w:t>
            </w:r>
          </w:p>
        </w:tc>
        <w:tc>
          <w:tcPr>
            <w:tcW w:w="535" w:type="dxa"/>
            <w:shd w:val="clear" w:color="auto" w:fill="auto"/>
            <w:noWrap/>
            <w:vAlign w:val="center"/>
          </w:tcPr>
          <w:p w14:paraId="0B24D26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62B6B38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5870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2371448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37</w:t>
            </w:r>
          </w:p>
        </w:tc>
        <w:tc>
          <w:tcPr>
            <w:tcW w:w="1128" w:type="dxa"/>
            <w:vMerge w:val="continue"/>
            <w:vAlign w:val="center"/>
          </w:tcPr>
          <w:p w14:paraId="6609DE1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1557289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66DF4A4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3.支持群伤管理病人列表显示（病人编号，姓名，ID 号，性别，年龄，分诊级别，分诊科室，分诊去向）。 </w:t>
            </w:r>
          </w:p>
        </w:tc>
        <w:tc>
          <w:tcPr>
            <w:tcW w:w="535" w:type="dxa"/>
            <w:shd w:val="clear" w:color="auto" w:fill="auto"/>
            <w:noWrap/>
            <w:vAlign w:val="center"/>
          </w:tcPr>
          <w:p w14:paraId="540920E2">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3DF9CAF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1941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2" w:type="dxa"/>
            <w:shd w:val="clear" w:color="auto" w:fill="auto"/>
            <w:noWrap/>
            <w:vAlign w:val="center"/>
          </w:tcPr>
          <w:p w14:paraId="274C32E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38</w:t>
            </w:r>
          </w:p>
        </w:tc>
        <w:tc>
          <w:tcPr>
            <w:tcW w:w="1128" w:type="dxa"/>
            <w:vMerge w:val="continue"/>
            <w:vAlign w:val="center"/>
          </w:tcPr>
          <w:p w14:paraId="0D6BB7F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7627FAE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42DC62F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4.支持从预检分级病人列表中，选择病人关联到选中的群体事件。 </w:t>
            </w:r>
          </w:p>
        </w:tc>
        <w:tc>
          <w:tcPr>
            <w:tcW w:w="535" w:type="dxa"/>
            <w:shd w:val="clear" w:color="auto" w:fill="auto"/>
            <w:noWrap/>
            <w:vAlign w:val="center"/>
          </w:tcPr>
          <w:p w14:paraId="6EC7983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32B51CD2">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27E66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6337479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39</w:t>
            </w:r>
          </w:p>
        </w:tc>
        <w:tc>
          <w:tcPr>
            <w:tcW w:w="1128" w:type="dxa"/>
            <w:vMerge w:val="continue"/>
            <w:vAlign w:val="center"/>
          </w:tcPr>
          <w:p w14:paraId="58C542B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759E4FC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52D533B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5.支持展示病人基本信息、病人生命体征信息、病人分诊级别、分诊去向。</w:t>
            </w:r>
          </w:p>
        </w:tc>
        <w:tc>
          <w:tcPr>
            <w:tcW w:w="535" w:type="dxa"/>
            <w:shd w:val="clear" w:color="auto" w:fill="auto"/>
            <w:noWrap/>
            <w:vAlign w:val="center"/>
          </w:tcPr>
          <w:p w14:paraId="61E70F1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4C3CB80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6662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1C1E5A7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40</w:t>
            </w:r>
          </w:p>
        </w:tc>
        <w:tc>
          <w:tcPr>
            <w:tcW w:w="1128" w:type="dxa"/>
            <w:vMerge w:val="continue"/>
            <w:vAlign w:val="center"/>
          </w:tcPr>
          <w:p w14:paraId="170581D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restart"/>
            <w:shd w:val="clear" w:color="000000" w:fill="FFFFFF"/>
            <w:noWrap/>
            <w:vAlign w:val="center"/>
          </w:tcPr>
          <w:p w14:paraId="1EE0002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1.7智能分诊</w:t>
            </w:r>
          </w:p>
        </w:tc>
        <w:tc>
          <w:tcPr>
            <w:tcW w:w="4928" w:type="dxa"/>
            <w:shd w:val="clear" w:color="000000" w:fill="FFFFFF"/>
            <w:vAlign w:val="center"/>
          </w:tcPr>
          <w:p w14:paraId="0AB19E9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1.支持根据采集到的病人生命体征数据和AVPU反应、自动进行MEWS评分，和推荐分级；</w:t>
            </w:r>
          </w:p>
        </w:tc>
        <w:tc>
          <w:tcPr>
            <w:tcW w:w="535" w:type="dxa"/>
            <w:shd w:val="clear" w:color="auto" w:fill="auto"/>
            <w:noWrap/>
            <w:vAlign w:val="center"/>
          </w:tcPr>
          <w:p w14:paraId="28647402">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6568D8B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20BF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7FD41D4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41</w:t>
            </w:r>
          </w:p>
        </w:tc>
        <w:tc>
          <w:tcPr>
            <w:tcW w:w="1128" w:type="dxa"/>
            <w:vMerge w:val="continue"/>
            <w:vAlign w:val="center"/>
          </w:tcPr>
          <w:p w14:paraId="5A3DD28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441A201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052DB86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2.支持根据选择的主诉，依据后台配置的关联关系，进行病人分诊科室的自动推荐，可进行手工更新；</w:t>
            </w:r>
          </w:p>
        </w:tc>
        <w:tc>
          <w:tcPr>
            <w:tcW w:w="535" w:type="dxa"/>
            <w:shd w:val="clear" w:color="auto" w:fill="auto"/>
            <w:noWrap/>
            <w:vAlign w:val="center"/>
          </w:tcPr>
          <w:p w14:paraId="6B61D91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4632A35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E49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62" w:type="dxa"/>
            <w:shd w:val="clear" w:color="auto" w:fill="auto"/>
            <w:noWrap/>
            <w:vAlign w:val="center"/>
          </w:tcPr>
          <w:p w14:paraId="7958903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42</w:t>
            </w:r>
          </w:p>
        </w:tc>
        <w:tc>
          <w:tcPr>
            <w:tcW w:w="1128" w:type="dxa"/>
            <w:vMerge w:val="continue"/>
            <w:vAlign w:val="center"/>
          </w:tcPr>
          <w:p w14:paraId="281FAA9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5763720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77C1AFB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3.支持选择病人去向，去向支持后台可配置；</w:t>
            </w:r>
          </w:p>
        </w:tc>
        <w:tc>
          <w:tcPr>
            <w:tcW w:w="535" w:type="dxa"/>
            <w:shd w:val="clear" w:color="auto" w:fill="auto"/>
            <w:noWrap/>
            <w:vAlign w:val="center"/>
          </w:tcPr>
          <w:p w14:paraId="5EFA2FD6">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737A797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52125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2" w:type="dxa"/>
            <w:shd w:val="clear" w:color="auto" w:fill="auto"/>
            <w:noWrap/>
            <w:vAlign w:val="center"/>
          </w:tcPr>
          <w:p w14:paraId="26DB4C9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43</w:t>
            </w:r>
          </w:p>
        </w:tc>
        <w:tc>
          <w:tcPr>
            <w:tcW w:w="1128" w:type="dxa"/>
            <w:vMerge w:val="continue"/>
            <w:vAlign w:val="center"/>
          </w:tcPr>
          <w:p w14:paraId="3BEF7E3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75E3E9F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686529E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4.对于推荐分级，系统后台自动记录下来，支持操作人员手动修改，修改时保存修改依据；</w:t>
            </w:r>
          </w:p>
        </w:tc>
        <w:tc>
          <w:tcPr>
            <w:tcW w:w="535" w:type="dxa"/>
            <w:shd w:val="clear" w:color="auto" w:fill="auto"/>
            <w:noWrap/>
            <w:vAlign w:val="center"/>
          </w:tcPr>
          <w:p w14:paraId="528D443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6A384CC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2D996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562" w:type="dxa"/>
            <w:shd w:val="clear" w:color="auto" w:fill="auto"/>
            <w:noWrap/>
            <w:vAlign w:val="center"/>
          </w:tcPr>
          <w:p w14:paraId="7472C17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44</w:t>
            </w:r>
          </w:p>
        </w:tc>
        <w:tc>
          <w:tcPr>
            <w:tcW w:w="1128" w:type="dxa"/>
            <w:vMerge w:val="continue"/>
            <w:vAlign w:val="center"/>
          </w:tcPr>
          <w:p w14:paraId="0B13067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386D1D2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3C139F3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5.支持打印分诊单、打印腕带、打印瓶贴。</w:t>
            </w:r>
          </w:p>
        </w:tc>
        <w:tc>
          <w:tcPr>
            <w:tcW w:w="535" w:type="dxa"/>
            <w:shd w:val="clear" w:color="auto" w:fill="auto"/>
            <w:noWrap/>
            <w:vAlign w:val="center"/>
          </w:tcPr>
          <w:p w14:paraId="5C59499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64A23FA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6643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2" w:type="dxa"/>
            <w:shd w:val="clear" w:color="auto" w:fill="auto"/>
            <w:noWrap/>
            <w:vAlign w:val="center"/>
          </w:tcPr>
          <w:p w14:paraId="420C14E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46</w:t>
            </w:r>
          </w:p>
        </w:tc>
        <w:tc>
          <w:tcPr>
            <w:tcW w:w="1128" w:type="dxa"/>
            <w:vMerge w:val="continue"/>
            <w:vAlign w:val="center"/>
          </w:tcPr>
          <w:p w14:paraId="2A2297E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restart"/>
            <w:shd w:val="clear" w:color="000000" w:fill="FFFFFF"/>
            <w:noWrap/>
            <w:vAlign w:val="center"/>
          </w:tcPr>
          <w:p w14:paraId="10FE3070">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1.8统计分析</w:t>
            </w:r>
          </w:p>
        </w:tc>
        <w:tc>
          <w:tcPr>
            <w:tcW w:w="4928" w:type="dxa"/>
            <w:shd w:val="clear" w:color="000000" w:fill="FFFFFF"/>
            <w:vAlign w:val="center"/>
          </w:tcPr>
          <w:p w14:paraId="35FB405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1.支持分诊性别比率分布统计；</w:t>
            </w:r>
          </w:p>
        </w:tc>
        <w:tc>
          <w:tcPr>
            <w:tcW w:w="535" w:type="dxa"/>
            <w:shd w:val="clear" w:color="auto" w:fill="auto"/>
            <w:noWrap/>
            <w:vAlign w:val="center"/>
          </w:tcPr>
          <w:p w14:paraId="7858C65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7AFCA5F3">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EE54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562" w:type="dxa"/>
            <w:shd w:val="clear" w:color="auto" w:fill="auto"/>
            <w:noWrap/>
            <w:vAlign w:val="center"/>
          </w:tcPr>
          <w:p w14:paraId="5F2DD139">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47</w:t>
            </w:r>
          </w:p>
        </w:tc>
        <w:tc>
          <w:tcPr>
            <w:tcW w:w="1128" w:type="dxa"/>
            <w:vMerge w:val="continue"/>
            <w:vAlign w:val="center"/>
          </w:tcPr>
          <w:p w14:paraId="32B8A57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347E451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3D92EC4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支持急诊患者就诊时间分布趋势图，可选择时间间隔1小时、2小时、3小时统计；支持急诊预检分诊错误统计，可点击查看分诊错误详情，明细到具体患者名称、病历号、科室、修改前科室、级别、修改前级别、去向、修改前去向；</w:t>
            </w:r>
          </w:p>
        </w:tc>
        <w:tc>
          <w:tcPr>
            <w:tcW w:w="535" w:type="dxa"/>
            <w:shd w:val="clear" w:color="auto" w:fill="auto"/>
            <w:noWrap/>
            <w:vAlign w:val="center"/>
          </w:tcPr>
          <w:p w14:paraId="09A92CF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6B27744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912B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317509A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48</w:t>
            </w:r>
          </w:p>
        </w:tc>
        <w:tc>
          <w:tcPr>
            <w:tcW w:w="1128" w:type="dxa"/>
            <w:vMerge w:val="continue"/>
            <w:vAlign w:val="center"/>
          </w:tcPr>
          <w:p w14:paraId="07FE3F2E">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5F3868C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28D2514A">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3.支持入抢救室人数分布，可选择时间间隔1小时、2小时、3小时统计；</w:t>
            </w:r>
          </w:p>
        </w:tc>
        <w:tc>
          <w:tcPr>
            <w:tcW w:w="535" w:type="dxa"/>
            <w:shd w:val="clear" w:color="auto" w:fill="auto"/>
            <w:noWrap/>
            <w:vAlign w:val="center"/>
          </w:tcPr>
          <w:p w14:paraId="645A6B4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2B1B47F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EF45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5B7EE77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49</w:t>
            </w:r>
          </w:p>
        </w:tc>
        <w:tc>
          <w:tcPr>
            <w:tcW w:w="1128" w:type="dxa"/>
            <w:vMerge w:val="continue"/>
            <w:vAlign w:val="center"/>
          </w:tcPr>
          <w:p w14:paraId="3F42903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48C6AC1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29DBAEB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4.支持分诊去向分布统计；</w:t>
            </w:r>
          </w:p>
        </w:tc>
        <w:tc>
          <w:tcPr>
            <w:tcW w:w="535" w:type="dxa"/>
            <w:shd w:val="clear" w:color="auto" w:fill="auto"/>
            <w:noWrap/>
            <w:vAlign w:val="center"/>
          </w:tcPr>
          <w:p w14:paraId="03C5ED5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71FE0F2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560BD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4BFB96E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50</w:t>
            </w:r>
          </w:p>
        </w:tc>
        <w:tc>
          <w:tcPr>
            <w:tcW w:w="1128" w:type="dxa"/>
            <w:vMerge w:val="continue"/>
            <w:vAlign w:val="center"/>
          </w:tcPr>
          <w:p w14:paraId="270FF331">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20EEC9F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53C7332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5.支持分诊绿色通道统计；</w:t>
            </w:r>
          </w:p>
        </w:tc>
        <w:tc>
          <w:tcPr>
            <w:tcW w:w="535" w:type="dxa"/>
            <w:shd w:val="clear" w:color="auto" w:fill="auto"/>
            <w:noWrap/>
            <w:vAlign w:val="center"/>
          </w:tcPr>
          <w:p w14:paraId="766AF8E2">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7F5F7B8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7C3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6A6E4F7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51</w:t>
            </w:r>
          </w:p>
        </w:tc>
        <w:tc>
          <w:tcPr>
            <w:tcW w:w="1128" w:type="dxa"/>
            <w:vMerge w:val="continue"/>
            <w:vAlign w:val="center"/>
          </w:tcPr>
          <w:p w14:paraId="7A59534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3CA25A5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1F5D23D4">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4.支持分诊群体事件统计；</w:t>
            </w:r>
          </w:p>
        </w:tc>
        <w:tc>
          <w:tcPr>
            <w:tcW w:w="535" w:type="dxa"/>
            <w:shd w:val="clear" w:color="auto" w:fill="auto"/>
            <w:noWrap/>
            <w:vAlign w:val="center"/>
          </w:tcPr>
          <w:p w14:paraId="08CCE7A7">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03F730E8">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4C757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62" w:type="dxa"/>
            <w:shd w:val="clear" w:color="auto" w:fill="auto"/>
            <w:noWrap/>
            <w:vAlign w:val="center"/>
          </w:tcPr>
          <w:p w14:paraId="6EA37B2D">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52</w:t>
            </w:r>
          </w:p>
        </w:tc>
        <w:tc>
          <w:tcPr>
            <w:tcW w:w="1128" w:type="dxa"/>
            <w:vMerge w:val="continue"/>
            <w:vAlign w:val="center"/>
          </w:tcPr>
          <w:p w14:paraId="26E170BF">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1285" w:type="dxa"/>
            <w:vMerge w:val="continue"/>
            <w:vAlign w:val="center"/>
          </w:tcPr>
          <w:p w14:paraId="5083868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b/>
                <w:bCs/>
                <w:color w:val="auto"/>
                <w:kern w:val="0"/>
                <w:sz w:val="24"/>
                <w:szCs w:val="24"/>
                <w14:ligatures w14:val="none"/>
              </w:rPr>
            </w:pPr>
          </w:p>
        </w:tc>
        <w:tc>
          <w:tcPr>
            <w:tcW w:w="4928" w:type="dxa"/>
            <w:shd w:val="clear" w:color="000000" w:fill="FFFFFF"/>
            <w:vAlign w:val="center"/>
          </w:tcPr>
          <w:p w14:paraId="480687D5">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6.支持分诊三无人员统计；</w:t>
            </w:r>
          </w:p>
        </w:tc>
        <w:tc>
          <w:tcPr>
            <w:tcW w:w="535" w:type="dxa"/>
            <w:shd w:val="clear" w:color="auto" w:fill="auto"/>
            <w:noWrap/>
            <w:vAlign w:val="center"/>
          </w:tcPr>
          <w:p w14:paraId="720EBBDB">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498" w:type="dxa"/>
            <w:shd w:val="clear" w:color="auto" w:fill="auto"/>
            <w:noWrap/>
            <w:vAlign w:val="center"/>
          </w:tcPr>
          <w:p w14:paraId="34311B2C">
            <w:pPr>
              <w:pageBreakBefore w:val="0"/>
              <w:widowControl/>
              <w:kinsoku/>
              <w:wordWrap/>
              <w:overflowPunct/>
              <w:topLinePunct w:val="0"/>
              <w:autoSpaceDE/>
              <w:autoSpaceDN/>
              <w:bidi w:val="0"/>
              <w:spacing w:line="480" w:lineRule="exact"/>
              <w:ind w:firstLine="0" w:firstLineChars="0"/>
              <w:jc w:val="both"/>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bl>
    <w:p w14:paraId="170549F4">
      <w:pPr>
        <w:pStyle w:val="2"/>
        <w:keepNext/>
        <w:keepLines/>
        <w:pageBreakBefore w:val="0"/>
        <w:widowControl w:val="0"/>
        <w:kinsoku/>
        <w:wordWrap/>
        <w:overflowPunct/>
        <w:topLinePunct w:val="0"/>
        <w:autoSpaceDE/>
        <w:autoSpaceDN/>
        <w:bidi w:val="0"/>
        <w:adjustRightInd/>
        <w:snapToGrid/>
        <w:spacing w:before="0" w:after="0" w:line="480" w:lineRule="exact"/>
        <w:textAlignment w:val="auto"/>
        <w:rPr>
          <w:rFonts w:hint="eastAsia" w:ascii="宋体" w:hAnsi="宋体" w:eastAsia="宋体" w:cs="宋体"/>
          <w:b w:val="0"/>
          <w:color w:val="auto"/>
          <w:kern w:val="0"/>
          <w:sz w:val="24"/>
          <w:szCs w:val="24"/>
        </w:rPr>
      </w:pPr>
      <w:r>
        <w:rPr>
          <w:rFonts w:hint="eastAsia" w:ascii="宋体" w:hAnsi="宋体" w:eastAsia="宋体" w:cs="宋体"/>
          <w:b w:val="0"/>
          <w:color w:val="auto"/>
          <w:kern w:val="0"/>
          <w:sz w:val="24"/>
          <w:szCs w:val="24"/>
        </w:rPr>
        <w:t>卒中和胸痛中心</w:t>
      </w:r>
    </w:p>
    <w:tbl>
      <w:tblPr>
        <w:tblStyle w:val="26"/>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009"/>
        <w:gridCol w:w="1087"/>
        <w:gridCol w:w="4866"/>
        <w:gridCol w:w="698"/>
        <w:gridCol w:w="709"/>
      </w:tblGrid>
      <w:tr w14:paraId="7A83E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0" w:hRule="atLeast"/>
          <w:jc w:val="center"/>
        </w:trPr>
        <w:tc>
          <w:tcPr>
            <w:tcW w:w="704" w:type="dxa"/>
            <w:shd w:val="clear" w:color="auto" w:fill="auto"/>
            <w:noWrap/>
            <w:vAlign w:val="center"/>
          </w:tcPr>
          <w:p w14:paraId="255873DE">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序号</w:t>
            </w:r>
          </w:p>
        </w:tc>
        <w:tc>
          <w:tcPr>
            <w:tcW w:w="6962" w:type="dxa"/>
            <w:gridSpan w:val="3"/>
            <w:shd w:val="clear" w:color="auto" w:fill="auto"/>
            <w:vAlign w:val="center"/>
          </w:tcPr>
          <w:p w14:paraId="34499BC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详细参数</w:t>
            </w:r>
          </w:p>
        </w:tc>
        <w:tc>
          <w:tcPr>
            <w:tcW w:w="698" w:type="dxa"/>
            <w:shd w:val="clear" w:color="auto" w:fill="auto"/>
            <w:noWrap/>
            <w:vAlign w:val="center"/>
          </w:tcPr>
          <w:p w14:paraId="571CABB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数量</w:t>
            </w:r>
          </w:p>
        </w:tc>
        <w:tc>
          <w:tcPr>
            <w:tcW w:w="709" w:type="dxa"/>
            <w:shd w:val="clear" w:color="auto" w:fill="auto"/>
            <w:noWrap/>
            <w:vAlign w:val="center"/>
          </w:tcPr>
          <w:p w14:paraId="4F48AD9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单位</w:t>
            </w:r>
          </w:p>
        </w:tc>
      </w:tr>
      <w:tr w14:paraId="0ABFF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44AB3631">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1009" w:type="dxa"/>
            <w:vMerge w:val="restart"/>
            <w:shd w:val="clear" w:color="000000" w:fill="FFFFFF"/>
            <w:vAlign w:val="center"/>
          </w:tcPr>
          <w:p w14:paraId="59D2868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2.1胸痛中心系统</w:t>
            </w:r>
          </w:p>
        </w:tc>
        <w:tc>
          <w:tcPr>
            <w:tcW w:w="1087" w:type="dxa"/>
            <w:vMerge w:val="restart"/>
            <w:shd w:val="clear" w:color="000000" w:fill="FFFFFF"/>
            <w:noWrap/>
            <w:vAlign w:val="center"/>
          </w:tcPr>
          <w:p w14:paraId="6D3FDFDE">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2.1.1 院内急救护士端</w:t>
            </w:r>
          </w:p>
        </w:tc>
        <w:tc>
          <w:tcPr>
            <w:tcW w:w="4866" w:type="dxa"/>
            <w:shd w:val="clear" w:color="000000" w:fill="FFFFFF"/>
            <w:vAlign w:val="center"/>
          </w:tcPr>
          <w:p w14:paraId="4350BC65">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bookmarkStart w:id="308" w:name="RANGE!E53"/>
            <w:r>
              <w:rPr>
                <w:rFonts w:hint="eastAsia" w:ascii="宋体" w:hAnsi="宋体" w:eastAsia="宋体" w:cs="宋体"/>
                <w:color w:val="auto"/>
                <w:kern w:val="0"/>
                <w:sz w:val="24"/>
                <w:szCs w:val="24"/>
                <w14:ligatures w14:val="none"/>
              </w:rPr>
              <w:t xml:space="preserve">1.患者信息登记工作，对于在预检分级模块登记过的数据，可以自动同步。支持将患者标记为胸痛大病种，支持获取 24 小时内挂号的急诊病人列表，支持根据门诊号、 住院号自动获取患者信息。 </w:t>
            </w:r>
            <w:bookmarkEnd w:id="308"/>
          </w:p>
        </w:tc>
        <w:tc>
          <w:tcPr>
            <w:tcW w:w="698" w:type="dxa"/>
            <w:shd w:val="clear" w:color="auto" w:fill="auto"/>
            <w:noWrap/>
            <w:vAlign w:val="center"/>
          </w:tcPr>
          <w:p w14:paraId="3B250C9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75A7A9C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18F9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404DE55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w:t>
            </w:r>
          </w:p>
        </w:tc>
        <w:tc>
          <w:tcPr>
            <w:tcW w:w="1009" w:type="dxa"/>
            <w:vMerge w:val="continue"/>
            <w:vAlign w:val="center"/>
          </w:tcPr>
          <w:p w14:paraId="680A298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58A7A0B5">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5B7C7E79">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w:t>
            </w:r>
            <w:r>
              <w:rPr>
                <w:rFonts w:hint="eastAsia" w:ascii="宋体" w:hAnsi="宋体" w:eastAsia="宋体" w:cs="宋体"/>
                <w:color w:val="auto"/>
                <w:kern w:val="0"/>
                <w:sz w:val="24"/>
                <w:szCs w:val="24"/>
                <w14:ligatures w14:val="none"/>
              </w:rPr>
              <w:t xml:space="preserve"> 量表评估，支持在系统对完成对患者 TIMI 评分、GRACE 危险评分、CRUSADE 评分、GCS 等评分，评分根据项目方式进行勾选，自动记录总分，评分支持模式切换。 </w:t>
            </w:r>
          </w:p>
        </w:tc>
        <w:tc>
          <w:tcPr>
            <w:tcW w:w="698" w:type="dxa"/>
            <w:shd w:val="clear" w:color="auto" w:fill="auto"/>
            <w:noWrap/>
            <w:vAlign w:val="center"/>
          </w:tcPr>
          <w:p w14:paraId="08098E1C">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41B945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5096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2DCAB68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w:t>
            </w:r>
          </w:p>
        </w:tc>
        <w:tc>
          <w:tcPr>
            <w:tcW w:w="1009" w:type="dxa"/>
            <w:vMerge w:val="continue"/>
            <w:vAlign w:val="center"/>
          </w:tcPr>
          <w:p w14:paraId="6F50CEA1">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7F34C5AE">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4436C75C">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3.报告查看，支持在 App 上进行检验报告、检查报告调阅，报告异常指标有醒目标识。 </w:t>
            </w:r>
          </w:p>
        </w:tc>
        <w:tc>
          <w:tcPr>
            <w:tcW w:w="698" w:type="dxa"/>
            <w:shd w:val="clear" w:color="auto" w:fill="auto"/>
            <w:noWrap/>
            <w:vAlign w:val="center"/>
          </w:tcPr>
          <w:p w14:paraId="3A71779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1C03F1D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5ACB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57C222E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w:t>
            </w:r>
          </w:p>
        </w:tc>
        <w:tc>
          <w:tcPr>
            <w:tcW w:w="1009" w:type="dxa"/>
            <w:vMerge w:val="continue"/>
            <w:vAlign w:val="center"/>
          </w:tcPr>
          <w:p w14:paraId="14E3467E">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2315F421">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6CDC0A6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4.病史采集，支持对病人病史的数据进行采集，支持语音录入，亦可以进行病史的图片上传。 </w:t>
            </w:r>
          </w:p>
        </w:tc>
        <w:tc>
          <w:tcPr>
            <w:tcW w:w="698" w:type="dxa"/>
            <w:shd w:val="clear" w:color="auto" w:fill="auto"/>
            <w:noWrap/>
            <w:vAlign w:val="center"/>
          </w:tcPr>
          <w:p w14:paraId="19007AC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2B7F7D2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7FAC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25D8295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w:t>
            </w:r>
          </w:p>
        </w:tc>
        <w:tc>
          <w:tcPr>
            <w:tcW w:w="1009" w:type="dxa"/>
            <w:vMerge w:val="continue"/>
            <w:vAlign w:val="center"/>
          </w:tcPr>
          <w:p w14:paraId="09820C3B">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64E6B60A">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46350ED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bookmarkStart w:id="309" w:name="RANGE!E57"/>
            <w:r>
              <w:rPr>
                <w:rFonts w:hint="eastAsia" w:ascii="宋体" w:hAnsi="宋体" w:eastAsia="宋体" w:cs="宋体"/>
                <w:color w:val="auto"/>
                <w:kern w:val="0"/>
                <w:sz w:val="24"/>
                <w:szCs w:val="24"/>
                <w14:ligatures w14:val="none"/>
              </w:rPr>
              <w:t>5.</w:t>
            </w:r>
            <w:r>
              <w:rPr>
                <w:rFonts w:hint="eastAsia" w:ascii="宋体" w:hAnsi="宋体" w:eastAsia="宋体" w:cs="宋体"/>
                <w:color w:val="auto"/>
                <w:kern w:val="0"/>
                <w:sz w:val="24"/>
                <w:szCs w:val="24"/>
                <w14:ligatures w14:val="none"/>
              </w:rPr>
              <w:t xml:space="preserve"> ▲一包药，支持院内、术中、院前三个不同阶段的一包药信息记录，支持抗血小板给药、抗凝给药的时间及药物名称剂量录入。 </w:t>
            </w:r>
            <w:bookmarkEnd w:id="309"/>
          </w:p>
        </w:tc>
        <w:tc>
          <w:tcPr>
            <w:tcW w:w="698" w:type="dxa"/>
            <w:shd w:val="clear" w:color="auto" w:fill="auto"/>
            <w:noWrap/>
            <w:vAlign w:val="center"/>
          </w:tcPr>
          <w:p w14:paraId="5379490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5E8DAC7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4C09C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7626089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w:t>
            </w:r>
          </w:p>
        </w:tc>
        <w:tc>
          <w:tcPr>
            <w:tcW w:w="1009" w:type="dxa"/>
            <w:vMerge w:val="continue"/>
            <w:vAlign w:val="center"/>
          </w:tcPr>
          <w:p w14:paraId="0F8BBEEC">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17EFB1BA">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79E2E2D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6. 心电图，护士可以联机获取心电图（此项指仪器设备能提供开放对接接口的情况下）或者通过拍照的方式，将心电图信息截取发送到心电图室进行判图，支持院内、院前心电图保存，自动计算 FMC2ECG 时间。 </w:t>
            </w:r>
          </w:p>
        </w:tc>
        <w:tc>
          <w:tcPr>
            <w:tcW w:w="698" w:type="dxa"/>
            <w:shd w:val="clear" w:color="auto" w:fill="auto"/>
            <w:noWrap/>
            <w:vAlign w:val="center"/>
          </w:tcPr>
          <w:p w14:paraId="7286139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3AF4EB6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5774F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40803EDA">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w:t>
            </w:r>
          </w:p>
        </w:tc>
        <w:tc>
          <w:tcPr>
            <w:tcW w:w="1009" w:type="dxa"/>
            <w:vMerge w:val="continue"/>
            <w:vAlign w:val="center"/>
          </w:tcPr>
          <w:p w14:paraId="54F7260C">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0EA7A1DB">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65942CD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 心梗三项，实现心肌酶数据采集，支持与快检设备进行对接</w:t>
            </w:r>
            <w:bookmarkStart w:id="310" w:name="OLE_LINK1"/>
            <w:r>
              <w:rPr>
                <w:rFonts w:hint="eastAsia" w:ascii="宋体" w:hAnsi="宋体" w:eastAsia="宋体" w:cs="宋体"/>
                <w:color w:val="auto"/>
                <w:kern w:val="0"/>
                <w:sz w:val="24"/>
                <w:szCs w:val="24"/>
                <w14:ligatures w14:val="none"/>
              </w:rPr>
              <w:t>（此项指仪器设备能提供开放对接接口的情况下）</w:t>
            </w:r>
            <w:bookmarkEnd w:id="310"/>
            <w:r>
              <w:rPr>
                <w:rFonts w:hint="eastAsia" w:ascii="宋体" w:hAnsi="宋体" w:eastAsia="宋体" w:cs="宋体"/>
                <w:color w:val="auto"/>
                <w:kern w:val="0"/>
                <w:sz w:val="24"/>
                <w:szCs w:val="24"/>
                <w14:ligatures w14:val="none"/>
              </w:rPr>
              <w:t xml:space="preserve">，自动获取到检验结果数据，报告时间自动获取，支持附件上传。 </w:t>
            </w:r>
          </w:p>
        </w:tc>
        <w:tc>
          <w:tcPr>
            <w:tcW w:w="698" w:type="dxa"/>
            <w:shd w:val="clear" w:color="auto" w:fill="auto"/>
            <w:noWrap/>
            <w:vAlign w:val="center"/>
          </w:tcPr>
          <w:p w14:paraId="00AFD88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DBAD51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9802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04" w:type="dxa"/>
            <w:shd w:val="clear" w:color="auto" w:fill="auto"/>
            <w:noWrap/>
            <w:vAlign w:val="center"/>
          </w:tcPr>
          <w:p w14:paraId="53CC497B">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8</w:t>
            </w:r>
          </w:p>
        </w:tc>
        <w:tc>
          <w:tcPr>
            <w:tcW w:w="1009" w:type="dxa"/>
            <w:vMerge w:val="continue"/>
            <w:vAlign w:val="center"/>
          </w:tcPr>
          <w:p w14:paraId="65322DC9">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717352BC">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6DBC78E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8.病情评估，支持医护对胸痛病人病情情况进行快速选择，支持多选。 </w:t>
            </w:r>
          </w:p>
        </w:tc>
        <w:tc>
          <w:tcPr>
            <w:tcW w:w="698" w:type="dxa"/>
            <w:shd w:val="clear" w:color="auto" w:fill="auto"/>
            <w:noWrap/>
            <w:vAlign w:val="center"/>
          </w:tcPr>
          <w:p w14:paraId="5F6284B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33C6DA5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ED8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7469C82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9</w:t>
            </w:r>
          </w:p>
        </w:tc>
        <w:tc>
          <w:tcPr>
            <w:tcW w:w="1009" w:type="dxa"/>
            <w:vMerge w:val="continue"/>
            <w:vAlign w:val="center"/>
          </w:tcPr>
          <w:p w14:paraId="0F32110C">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2135BD11">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09CBF145">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9.来院方式，支持对病人来院方式的快速记录，支持接诊医生、接诊护士选择，支持对全院医护人员进行搜索选择。 </w:t>
            </w:r>
          </w:p>
        </w:tc>
        <w:tc>
          <w:tcPr>
            <w:tcW w:w="698" w:type="dxa"/>
            <w:shd w:val="clear" w:color="auto" w:fill="auto"/>
            <w:noWrap/>
            <w:vAlign w:val="center"/>
          </w:tcPr>
          <w:p w14:paraId="4700CF4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1B655C4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4C93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21727CC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10</w:t>
            </w:r>
          </w:p>
        </w:tc>
        <w:tc>
          <w:tcPr>
            <w:tcW w:w="1009" w:type="dxa"/>
            <w:vMerge w:val="continue"/>
            <w:vAlign w:val="center"/>
          </w:tcPr>
          <w:p w14:paraId="7ECB3E7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1E597BA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38CAB42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10.生命体征，支持对患者院前、院内生命体征进行采集录入，支持多次采集</w:t>
            </w:r>
            <w:r>
              <w:rPr>
                <w:rFonts w:hint="eastAsia" w:ascii="宋体" w:hAnsi="宋体" w:eastAsia="宋体" w:cs="宋体"/>
                <w:color w:val="auto"/>
                <w:kern w:val="0"/>
                <w:sz w:val="24"/>
                <w:szCs w:val="24"/>
                <w14:ligatures w14:val="none"/>
              </w:rPr>
              <w:t>录入。实现与院</w:t>
            </w:r>
            <w:r>
              <w:rPr>
                <w:rFonts w:hint="eastAsia" w:ascii="宋体" w:hAnsi="宋体" w:eastAsia="宋体" w:cs="宋体"/>
                <w:color w:val="auto"/>
                <w:kern w:val="0"/>
                <w:sz w:val="24"/>
                <w:szCs w:val="24"/>
                <w14:ligatures w14:val="none"/>
              </w:rPr>
              <w:t>内预检分诊系统对接，自动获取分诊系统记录的体征信息。</w:t>
            </w:r>
          </w:p>
        </w:tc>
        <w:tc>
          <w:tcPr>
            <w:tcW w:w="698" w:type="dxa"/>
            <w:shd w:val="clear" w:color="auto" w:fill="auto"/>
            <w:noWrap/>
            <w:vAlign w:val="center"/>
          </w:tcPr>
          <w:p w14:paraId="7F1EE03E">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1557D39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58232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7F59879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11</w:t>
            </w:r>
          </w:p>
        </w:tc>
        <w:tc>
          <w:tcPr>
            <w:tcW w:w="1009" w:type="dxa"/>
            <w:vMerge w:val="continue"/>
            <w:vAlign w:val="center"/>
          </w:tcPr>
          <w:p w14:paraId="41580F5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0F8AF4DE">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46D7DBA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11.▲质控提醒：支持App端患者详情，头部醒目实时显示胸痛关注指标D2B、D2N、FMC2N、FMC2W，对于异常指标颜色区分显示。</w:t>
            </w:r>
          </w:p>
        </w:tc>
        <w:tc>
          <w:tcPr>
            <w:tcW w:w="698" w:type="dxa"/>
            <w:shd w:val="clear" w:color="auto" w:fill="auto"/>
            <w:noWrap/>
            <w:vAlign w:val="center"/>
          </w:tcPr>
          <w:p w14:paraId="7D75A71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6BB0ECC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77E3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4AAED1A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12</w:t>
            </w:r>
          </w:p>
        </w:tc>
        <w:tc>
          <w:tcPr>
            <w:tcW w:w="1009" w:type="dxa"/>
            <w:vMerge w:val="continue"/>
            <w:vAlign w:val="center"/>
          </w:tcPr>
          <w:p w14:paraId="2B3465DB">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restart"/>
            <w:shd w:val="clear" w:color="000000" w:fill="FFFFFF"/>
            <w:noWrap/>
            <w:vAlign w:val="center"/>
          </w:tcPr>
          <w:p w14:paraId="209B522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2.1.2急诊接诊医生端</w:t>
            </w:r>
          </w:p>
        </w:tc>
        <w:tc>
          <w:tcPr>
            <w:tcW w:w="4866" w:type="dxa"/>
            <w:shd w:val="clear" w:color="000000" w:fill="FFFFFF"/>
            <w:vAlign w:val="center"/>
          </w:tcPr>
          <w:p w14:paraId="67A75DAA">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r>
              <w:rPr>
                <w:rFonts w:hint="eastAsia" w:ascii="宋体" w:hAnsi="宋体" w:eastAsia="宋体" w:cs="宋体"/>
                <w:color w:val="auto"/>
                <w:kern w:val="0"/>
                <w:sz w:val="24"/>
                <w:szCs w:val="24"/>
                <w14:ligatures w14:val="none"/>
              </w:rPr>
              <w:t xml:space="preserve"> 诊断录入，程序支持医生在手机 APP 下达诊断，支持处置措施、患者去向、心功能分级、治疗方案等选择记录。支持会诊时间、会诊类型选择。 </w:t>
            </w:r>
          </w:p>
        </w:tc>
        <w:tc>
          <w:tcPr>
            <w:tcW w:w="698" w:type="dxa"/>
            <w:shd w:val="clear" w:color="auto" w:fill="auto"/>
            <w:noWrap/>
            <w:vAlign w:val="center"/>
          </w:tcPr>
          <w:p w14:paraId="4B2A947A">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286EC3D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212D2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53B4D55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13</w:t>
            </w:r>
          </w:p>
        </w:tc>
        <w:tc>
          <w:tcPr>
            <w:tcW w:w="1009" w:type="dxa"/>
            <w:vMerge w:val="continue"/>
            <w:vAlign w:val="center"/>
          </w:tcPr>
          <w:p w14:paraId="2AC216D0">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489B61F9">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41DE911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w:t>
            </w:r>
            <w:r>
              <w:rPr>
                <w:rFonts w:hint="eastAsia" w:ascii="宋体" w:hAnsi="宋体" w:eastAsia="宋体" w:cs="宋体"/>
                <w:color w:val="auto"/>
                <w:kern w:val="0"/>
                <w:sz w:val="24"/>
                <w:szCs w:val="24"/>
                <w14:ligatures w14:val="none"/>
              </w:rPr>
              <w:t xml:space="preserve"> 介入详情，医生在 APP 上进行介入入路选择、冠装造影图谱及选择、腔内影像选择、功能检测选择。 </w:t>
            </w:r>
          </w:p>
        </w:tc>
        <w:tc>
          <w:tcPr>
            <w:tcW w:w="698" w:type="dxa"/>
            <w:shd w:val="clear" w:color="auto" w:fill="auto"/>
            <w:noWrap/>
            <w:vAlign w:val="center"/>
          </w:tcPr>
          <w:p w14:paraId="10D69BEC">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7397EAC1">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47D2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704" w:type="dxa"/>
            <w:shd w:val="clear" w:color="auto" w:fill="auto"/>
            <w:noWrap/>
            <w:vAlign w:val="center"/>
          </w:tcPr>
          <w:p w14:paraId="28A8ED7A">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14</w:t>
            </w:r>
          </w:p>
        </w:tc>
        <w:tc>
          <w:tcPr>
            <w:tcW w:w="1009" w:type="dxa"/>
            <w:vMerge w:val="continue"/>
            <w:vAlign w:val="center"/>
          </w:tcPr>
          <w:p w14:paraId="7A722033">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63D63702">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043069CE">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3.导管室操作，支持在手机 APP 上记录导管室关键时间节点，如知情同意时间、导管室激活时间、穿刺时间、造影时间、导丝通过时间。系统自动计算出 D2W 时间。同时支持在电脑端对导管室时间进行记录，分胸痛介入、卒中介入，支持介入室打印介入时间单。 </w:t>
            </w:r>
          </w:p>
        </w:tc>
        <w:tc>
          <w:tcPr>
            <w:tcW w:w="698" w:type="dxa"/>
            <w:shd w:val="clear" w:color="auto" w:fill="auto"/>
            <w:noWrap/>
            <w:vAlign w:val="center"/>
          </w:tcPr>
          <w:p w14:paraId="364F284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1E15226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2F0F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37ABB24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15</w:t>
            </w:r>
          </w:p>
        </w:tc>
        <w:tc>
          <w:tcPr>
            <w:tcW w:w="1009" w:type="dxa"/>
            <w:vMerge w:val="continue"/>
            <w:vAlign w:val="center"/>
          </w:tcPr>
          <w:p w14:paraId="78BA87B0">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4BC6D4D9">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1CD4F809">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4.溶栓操作，支持溶栓筛查评估，静脉溶栓前查看信息。支持对溶栓相关时间点的记录，如知情同意时间、溶栓开始结束时间记录。 </w:t>
            </w:r>
          </w:p>
        </w:tc>
        <w:tc>
          <w:tcPr>
            <w:tcW w:w="698" w:type="dxa"/>
            <w:shd w:val="clear" w:color="auto" w:fill="auto"/>
            <w:noWrap/>
            <w:vAlign w:val="center"/>
          </w:tcPr>
          <w:p w14:paraId="134CE9E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7DC5995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4F0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6F1E751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16</w:t>
            </w:r>
          </w:p>
        </w:tc>
        <w:tc>
          <w:tcPr>
            <w:tcW w:w="1009" w:type="dxa"/>
            <w:vMerge w:val="continue"/>
            <w:vAlign w:val="center"/>
          </w:tcPr>
          <w:p w14:paraId="51C1791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3F5CD54E">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72E54F3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bookmarkStart w:id="311" w:name="RANGE!E68"/>
            <w:r>
              <w:rPr>
                <w:rFonts w:hint="eastAsia" w:ascii="宋体" w:hAnsi="宋体" w:eastAsia="宋体" w:cs="宋体"/>
                <w:color w:val="auto"/>
                <w:kern w:val="0"/>
                <w:sz w:val="24"/>
                <w:szCs w:val="24"/>
                <w14:ligatures w14:val="none"/>
              </w:rPr>
              <w:t xml:space="preserve">5.胸痛时间轴，APP 程序根据患者的救治过程自动绘制胸痛病人时间轴，时间轴上相关的时间节点，可根据医院需求进行自定义设置，对于超出质控的时间点，在时间轴上进行醒目显示。 </w:t>
            </w:r>
            <w:bookmarkEnd w:id="311"/>
          </w:p>
        </w:tc>
        <w:tc>
          <w:tcPr>
            <w:tcW w:w="698" w:type="dxa"/>
            <w:shd w:val="clear" w:color="auto" w:fill="auto"/>
            <w:noWrap/>
            <w:vAlign w:val="center"/>
          </w:tcPr>
          <w:p w14:paraId="318BF0F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742913DB">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0335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446DFD8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17</w:t>
            </w:r>
          </w:p>
        </w:tc>
        <w:tc>
          <w:tcPr>
            <w:tcW w:w="1009" w:type="dxa"/>
            <w:vMerge w:val="continue"/>
            <w:vAlign w:val="center"/>
          </w:tcPr>
          <w:p w14:paraId="0F1DFE93">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32FC0C1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774EC9E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6.胸痛病人病历，APP 程序根据患者的救治记录，自动生成胸痛病人的救治病历，急诊医生可以查看相关病历，并且进行修改。 </w:t>
            </w:r>
          </w:p>
        </w:tc>
        <w:tc>
          <w:tcPr>
            <w:tcW w:w="698" w:type="dxa"/>
            <w:shd w:val="clear" w:color="auto" w:fill="auto"/>
            <w:noWrap/>
            <w:vAlign w:val="center"/>
          </w:tcPr>
          <w:p w14:paraId="1E96F9B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2365479B">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5A423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00B3963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18</w:t>
            </w:r>
          </w:p>
        </w:tc>
        <w:tc>
          <w:tcPr>
            <w:tcW w:w="1009" w:type="dxa"/>
            <w:vMerge w:val="continue"/>
            <w:vAlign w:val="center"/>
          </w:tcPr>
          <w:p w14:paraId="7003556B">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432A82EE">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1C211372">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7.▲系统资料库，能支持快速拍照方式，将病人的病历本、心电图、肌酐蛋白、知情同意书等内容拍照存储到患者资料夹中。增加后续查找的方便性,支持后台图片下载、图片打印、打包下载。</w:t>
            </w:r>
          </w:p>
        </w:tc>
        <w:tc>
          <w:tcPr>
            <w:tcW w:w="698" w:type="dxa"/>
            <w:shd w:val="clear" w:color="auto" w:fill="auto"/>
            <w:noWrap/>
            <w:vAlign w:val="center"/>
          </w:tcPr>
          <w:p w14:paraId="35485C5C">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109DCB8A">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D80E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3E4E322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19</w:t>
            </w:r>
          </w:p>
        </w:tc>
        <w:tc>
          <w:tcPr>
            <w:tcW w:w="1009" w:type="dxa"/>
            <w:vMerge w:val="continue"/>
            <w:vAlign w:val="center"/>
          </w:tcPr>
          <w:p w14:paraId="23FF7123">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restart"/>
            <w:shd w:val="clear" w:color="000000" w:fill="FFFFFF"/>
            <w:noWrap/>
            <w:vAlign w:val="center"/>
          </w:tcPr>
          <w:p w14:paraId="59A33A9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2.1.3心内科/CCU 治疗医生端</w:t>
            </w:r>
          </w:p>
        </w:tc>
        <w:tc>
          <w:tcPr>
            <w:tcW w:w="4866" w:type="dxa"/>
            <w:shd w:val="clear" w:color="000000" w:fill="FFFFFF"/>
            <w:vAlign w:val="center"/>
          </w:tcPr>
          <w:p w14:paraId="4251670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r>
              <w:rPr>
                <w:rFonts w:hint="eastAsia" w:ascii="宋体" w:hAnsi="宋体" w:eastAsia="宋体" w:cs="宋体"/>
                <w:color w:val="auto"/>
                <w:kern w:val="0"/>
                <w:sz w:val="24"/>
                <w:szCs w:val="24"/>
                <w14:ligatures w14:val="none"/>
              </w:rPr>
              <w:t xml:space="preserve"> 患者转归，支持患者转归，治疗结果选择，支持出院带药记录，出院带药支持按模板引入，方便快捷选择。 </w:t>
            </w:r>
          </w:p>
        </w:tc>
        <w:tc>
          <w:tcPr>
            <w:tcW w:w="698" w:type="dxa"/>
            <w:shd w:val="clear" w:color="auto" w:fill="auto"/>
            <w:noWrap/>
            <w:vAlign w:val="center"/>
          </w:tcPr>
          <w:p w14:paraId="178D544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48BE037B">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1541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31360B4A">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20</w:t>
            </w:r>
          </w:p>
        </w:tc>
        <w:tc>
          <w:tcPr>
            <w:tcW w:w="1009" w:type="dxa"/>
            <w:vMerge w:val="continue"/>
            <w:vAlign w:val="center"/>
          </w:tcPr>
          <w:p w14:paraId="09BEB0F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039AFE5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3D289FF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w:t>
            </w:r>
            <w:r>
              <w:rPr>
                <w:rFonts w:hint="eastAsia" w:ascii="宋体" w:hAnsi="宋体" w:eastAsia="宋体" w:cs="宋体"/>
                <w:color w:val="auto"/>
                <w:kern w:val="0"/>
                <w:sz w:val="24"/>
                <w:szCs w:val="24"/>
                <w14:ligatures w14:val="none"/>
              </w:rPr>
              <w:t xml:space="preserve"> 出院，支持患者出院信息记录，出院信息支持自动从住院系统提取，包括住院天数、住院费用、入院日期、出院日期等。住院期间用药，支持手动录入及自动提取。 </w:t>
            </w:r>
          </w:p>
        </w:tc>
        <w:tc>
          <w:tcPr>
            <w:tcW w:w="698" w:type="dxa"/>
            <w:shd w:val="clear" w:color="auto" w:fill="auto"/>
            <w:noWrap/>
            <w:vAlign w:val="center"/>
          </w:tcPr>
          <w:p w14:paraId="172936A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238F58AE">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26CCE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62BFC30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21</w:t>
            </w:r>
          </w:p>
        </w:tc>
        <w:tc>
          <w:tcPr>
            <w:tcW w:w="1009" w:type="dxa"/>
            <w:vMerge w:val="continue"/>
            <w:vAlign w:val="center"/>
          </w:tcPr>
          <w:p w14:paraId="3A23F7B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38FF59E0">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2797B9CA">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3.治疗方案选择，治疗医生在系统上选择患者的治疗策略，可以选择溶栓、介入、手术、或者常规治疗。</w:t>
            </w:r>
          </w:p>
        </w:tc>
        <w:tc>
          <w:tcPr>
            <w:tcW w:w="698" w:type="dxa"/>
            <w:shd w:val="clear" w:color="auto" w:fill="auto"/>
            <w:noWrap/>
            <w:vAlign w:val="center"/>
          </w:tcPr>
          <w:p w14:paraId="2BF08D3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14AF6AC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E21E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3C916FF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22</w:t>
            </w:r>
          </w:p>
        </w:tc>
        <w:tc>
          <w:tcPr>
            <w:tcW w:w="1009" w:type="dxa"/>
            <w:vMerge w:val="continue"/>
            <w:vAlign w:val="center"/>
          </w:tcPr>
          <w:p w14:paraId="794F1950">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4B355AD1">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63F8C93C">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4.治疗记录，根据选择的治疗方案，支持对治疗过程的记录，如果是溶栓治疗，需要记录溶栓地点，溶栓药物，溶栓起止时间，溶栓再通，并发症等相关信息。 </w:t>
            </w:r>
          </w:p>
        </w:tc>
        <w:tc>
          <w:tcPr>
            <w:tcW w:w="698" w:type="dxa"/>
            <w:shd w:val="clear" w:color="auto" w:fill="auto"/>
            <w:noWrap/>
            <w:vAlign w:val="center"/>
          </w:tcPr>
          <w:p w14:paraId="130B3C6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FBAAA41">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24692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04" w:type="dxa"/>
            <w:shd w:val="clear" w:color="auto" w:fill="auto"/>
            <w:noWrap/>
            <w:vAlign w:val="center"/>
          </w:tcPr>
          <w:p w14:paraId="0F3559AC">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23</w:t>
            </w:r>
          </w:p>
        </w:tc>
        <w:tc>
          <w:tcPr>
            <w:tcW w:w="1009" w:type="dxa"/>
            <w:vMerge w:val="continue"/>
            <w:vAlign w:val="center"/>
          </w:tcPr>
          <w:p w14:paraId="51CB757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0FD31F85">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0346CBA3">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5.介入手术治疗，需要完成对介入人员，导管相关时间的记录。 </w:t>
            </w:r>
          </w:p>
        </w:tc>
        <w:tc>
          <w:tcPr>
            <w:tcW w:w="698" w:type="dxa"/>
            <w:shd w:val="clear" w:color="auto" w:fill="auto"/>
            <w:noWrap/>
            <w:vAlign w:val="center"/>
          </w:tcPr>
          <w:p w14:paraId="2C008E3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2CF645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2C502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07FD26CE">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24</w:t>
            </w:r>
          </w:p>
        </w:tc>
        <w:tc>
          <w:tcPr>
            <w:tcW w:w="1009" w:type="dxa"/>
            <w:vMerge w:val="continue"/>
            <w:vAlign w:val="center"/>
          </w:tcPr>
          <w:p w14:paraId="176146F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3427300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2FEF599A">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bookmarkStart w:id="312" w:name="RANGE!E76"/>
            <w:r>
              <w:rPr>
                <w:rFonts w:hint="eastAsia" w:ascii="宋体" w:hAnsi="宋体" w:eastAsia="宋体" w:cs="宋体"/>
                <w:color w:val="auto"/>
                <w:kern w:val="0"/>
                <w:sz w:val="24"/>
                <w:szCs w:val="24"/>
                <w14:ligatures w14:val="none"/>
              </w:rPr>
              <w:t>6.支持APP端平面展示冠状造影（CAG）中的LAD、LCA、LM、CX、RCA平面图形，并快速点选。</w:t>
            </w:r>
            <w:bookmarkEnd w:id="312"/>
          </w:p>
        </w:tc>
        <w:tc>
          <w:tcPr>
            <w:tcW w:w="698" w:type="dxa"/>
            <w:shd w:val="clear" w:color="auto" w:fill="auto"/>
            <w:noWrap/>
            <w:vAlign w:val="center"/>
          </w:tcPr>
          <w:p w14:paraId="7ACC58D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790034F1">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2EE57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5A36792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25</w:t>
            </w:r>
          </w:p>
        </w:tc>
        <w:tc>
          <w:tcPr>
            <w:tcW w:w="1009" w:type="dxa"/>
            <w:vMerge w:val="continue"/>
            <w:vAlign w:val="center"/>
          </w:tcPr>
          <w:p w14:paraId="5CE8C483">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4BAA84D2">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207EA88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7.胸痛病人病历，APP 程序根据患者的救治记录，自动生成胸痛病人的救治病历。</w:t>
            </w:r>
          </w:p>
        </w:tc>
        <w:tc>
          <w:tcPr>
            <w:tcW w:w="698" w:type="dxa"/>
            <w:shd w:val="clear" w:color="auto" w:fill="auto"/>
            <w:noWrap/>
            <w:vAlign w:val="center"/>
          </w:tcPr>
          <w:p w14:paraId="1C37D17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6CA7763A">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4A102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04" w:type="dxa"/>
            <w:shd w:val="clear" w:color="auto" w:fill="auto"/>
            <w:noWrap/>
            <w:vAlign w:val="center"/>
          </w:tcPr>
          <w:p w14:paraId="0574113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26</w:t>
            </w:r>
          </w:p>
        </w:tc>
        <w:tc>
          <w:tcPr>
            <w:tcW w:w="1009" w:type="dxa"/>
            <w:vMerge w:val="continue"/>
            <w:vAlign w:val="center"/>
          </w:tcPr>
          <w:p w14:paraId="4C283A30">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773947A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19455D5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8.急诊医生可以查看相关病历，并且进行修改。 </w:t>
            </w:r>
          </w:p>
        </w:tc>
        <w:tc>
          <w:tcPr>
            <w:tcW w:w="698" w:type="dxa"/>
            <w:shd w:val="clear" w:color="auto" w:fill="auto"/>
            <w:noWrap/>
            <w:vAlign w:val="center"/>
          </w:tcPr>
          <w:p w14:paraId="2D60D5E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426B937C">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322B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6A109E0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27</w:t>
            </w:r>
          </w:p>
        </w:tc>
        <w:tc>
          <w:tcPr>
            <w:tcW w:w="1009" w:type="dxa"/>
            <w:vMerge w:val="continue"/>
            <w:vAlign w:val="center"/>
          </w:tcPr>
          <w:p w14:paraId="3808202A">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181E0F7B">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0806758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9.肾小球过滤计算，系统提供计算工具，医护人员通过录入患者相关信息，能自动计算出肾小球过滤率。 </w:t>
            </w:r>
          </w:p>
        </w:tc>
        <w:tc>
          <w:tcPr>
            <w:tcW w:w="698" w:type="dxa"/>
            <w:shd w:val="clear" w:color="auto" w:fill="auto"/>
            <w:noWrap/>
            <w:vAlign w:val="center"/>
          </w:tcPr>
          <w:p w14:paraId="720C8A9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5F5580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BD45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704" w:type="dxa"/>
            <w:shd w:val="clear" w:color="auto" w:fill="auto"/>
            <w:noWrap/>
            <w:vAlign w:val="center"/>
          </w:tcPr>
          <w:p w14:paraId="1961162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28</w:t>
            </w:r>
          </w:p>
        </w:tc>
        <w:tc>
          <w:tcPr>
            <w:tcW w:w="1009" w:type="dxa"/>
            <w:vMerge w:val="continue"/>
            <w:vAlign w:val="center"/>
          </w:tcPr>
          <w:p w14:paraId="53E29DC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36A498AE">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2548C3F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10.▲患者转归针对出院好转患者，支持添加出院带药，药物种类如抗血小板药物、ACEI/ARB、调脂药物、</w:t>
            </w:r>
            <w:r>
              <w:rPr>
                <w:rFonts w:hint="eastAsia" w:ascii="宋体" w:hAnsi="宋体" w:eastAsia="宋体" w:cs="宋体"/>
                <w:color w:val="auto"/>
                <w:kern w:val="0"/>
                <w:sz w:val="24"/>
                <w:szCs w:val="24"/>
                <w14:ligatures w14:val="none"/>
              </w:rPr>
              <w:t>β受体阻滞剂。出院带药支持引用模板，通过引用模板支持快速添加抗血小板药物，药物名称、频次、单次剂量有默认值，减少手动操作。</w:t>
            </w:r>
          </w:p>
        </w:tc>
        <w:tc>
          <w:tcPr>
            <w:tcW w:w="698" w:type="dxa"/>
            <w:shd w:val="clear" w:color="auto" w:fill="auto"/>
            <w:noWrap/>
            <w:vAlign w:val="center"/>
          </w:tcPr>
          <w:p w14:paraId="47AF29EA">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F89E4F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E5E9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06A45B4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29</w:t>
            </w:r>
          </w:p>
        </w:tc>
        <w:tc>
          <w:tcPr>
            <w:tcW w:w="1009" w:type="dxa"/>
            <w:vMerge w:val="continue"/>
            <w:vAlign w:val="center"/>
          </w:tcPr>
          <w:p w14:paraId="3F8ED64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58D82B9E">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3D5F3709">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11.系统可以根据选择的诊断，选择诊疗方式后，会根据选择的诊疗方式自动的推送后续需要完成的功能内容项目，并且在系统上，能够清晰的识别出哪些内容已经完成，哪些内容未完成，方便核对。</w:t>
            </w:r>
          </w:p>
        </w:tc>
        <w:tc>
          <w:tcPr>
            <w:tcW w:w="698" w:type="dxa"/>
            <w:shd w:val="clear" w:color="auto" w:fill="auto"/>
            <w:noWrap/>
            <w:vAlign w:val="center"/>
          </w:tcPr>
          <w:p w14:paraId="4E071EE1">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404348BA">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79F4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6572244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30</w:t>
            </w:r>
          </w:p>
        </w:tc>
        <w:tc>
          <w:tcPr>
            <w:tcW w:w="1009" w:type="dxa"/>
            <w:vMerge w:val="continue"/>
            <w:vAlign w:val="center"/>
          </w:tcPr>
          <w:p w14:paraId="7A305F0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65AC215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4B095625">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12.</w:t>
            </w:r>
            <w:r>
              <w:rPr>
                <w:rFonts w:hint="eastAsia" w:ascii="宋体" w:hAnsi="宋体" w:eastAsia="宋体" w:cs="宋体"/>
                <w:color w:val="auto"/>
                <w:kern w:val="0"/>
                <w:sz w:val="24"/>
                <w:szCs w:val="24"/>
                <w14:ligatures w14:val="none"/>
              </w:rPr>
              <w:t xml:space="preserve"> ▲后台列表智能校验患者数据，醒目标识异常数据，提醒数据异常指标。查看患者详细数据，支持后台智能分析患者数据完整性。</w:t>
            </w:r>
          </w:p>
        </w:tc>
        <w:tc>
          <w:tcPr>
            <w:tcW w:w="698" w:type="dxa"/>
            <w:shd w:val="clear" w:color="auto" w:fill="auto"/>
            <w:noWrap/>
            <w:vAlign w:val="center"/>
          </w:tcPr>
          <w:p w14:paraId="52B8BA9C">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38C2410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4CEC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0581625C">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31</w:t>
            </w:r>
          </w:p>
        </w:tc>
        <w:tc>
          <w:tcPr>
            <w:tcW w:w="1009" w:type="dxa"/>
            <w:vMerge w:val="continue"/>
            <w:vAlign w:val="center"/>
          </w:tcPr>
          <w:p w14:paraId="1C1F65F5">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17568DE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3C914EB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13.</w:t>
            </w:r>
            <w:r>
              <w:rPr>
                <w:rFonts w:hint="eastAsia" w:ascii="宋体" w:hAnsi="宋体" w:eastAsia="宋体" w:cs="宋体"/>
                <w:color w:val="auto"/>
                <w:kern w:val="0"/>
                <w:sz w:val="24"/>
                <w:szCs w:val="24"/>
                <w14:ligatures w14:val="none"/>
              </w:rPr>
              <w:t xml:space="preserve"> ▲支持App端汇总查看病历，病历信息包含：患者信息、来院方式、启动导管室、心电图、生命体征、心梗三项，每个模块支持跳转修改。</w:t>
            </w:r>
          </w:p>
        </w:tc>
        <w:tc>
          <w:tcPr>
            <w:tcW w:w="698" w:type="dxa"/>
            <w:shd w:val="clear" w:color="auto" w:fill="auto"/>
            <w:noWrap/>
            <w:vAlign w:val="center"/>
          </w:tcPr>
          <w:p w14:paraId="10375D4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69B47F0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8175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40F8DB41">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32</w:t>
            </w:r>
          </w:p>
        </w:tc>
        <w:tc>
          <w:tcPr>
            <w:tcW w:w="1009" w:type="dxa"/>
            <w:vMerge w:val="restart"/>
            <w:shd w:val="clear" w:color="000000" w:fill="FFFFFF"/>
            <w:vAlign w:val="center"/>
          </w:tcPr>
          <w:p w14:paraId="0BB3454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2.2卒中中心系统</w:t>
            </w:r>
          </w:p>
        </w:tc>
        <w:tc>
          <w:tcPr>
            <w:tcW w:w="1087" w:type="dxa"/>
            <w:vMerge w:val="restart"/>
            <w:shd w:val="clear" w:color="auto" w:fill="auto"/>
            <w:noWrap/>
            <w:vAlign w:val="center"/>
          </w:tcPr>
          <w:p w14:paraId="2E4FB49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2.2.1院内急救护士端</w:t>
            </w:r>
          </w:p>
        </w:tc>
        <w:tc>
          <w:tcPr>
            <w:tcW w:w="4866" w:type="dxa"/>
            <w:shd w:val="clear" w:color="000000" w:fill="FFFFFF"/>
            <w:vAlign w:val="center"/>
          </w:tcPr>
          <w:p w14:paraId="394EA9E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1.患者信息登记工作，对于在预检分级模块登记过的数据，可以自动同步。支持将患者标记为卒中大病种，支持获取 24 小时内挂号的急诊病人列表，支持根据门诊号、住院号自动获取患者信息。 </w:t>
            </w:r>
          </w:p>
        </w:tc>
        <w:tc>
          <w:tcPr>
            <w:tcW w:w="698" w:type="dxa"/>
            <w:shd w:val="clear" w:color="auto" w:fill="auto"/>
            <w:noWrap/>
            <w:vAlign w:val="center"/>
          </w:tcPr>
          <w:p w14:paraId="05D99DBE">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2ABC076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E0AF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1263714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33</w:t>
            </w:r>
          </w:p>
        </w:tc>
        <w:tc>
          <w:tcPr>
            <w:tcW w:w="1009" w:type="dxa"/>
            <w:vMerge w:val="continue"/>
            <w:vAlign w:val="center"/>
          </w:tcPr>
          <w:p w14:paraId="7912209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3D27F902">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7211934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2.量表评估，支持在系统对完成对患者 NIHSS 评分、mRs 吞咽评分、Rankin 评分、吞咽等评分，评分根据项目方式进行勾选，自动记录总分，评分支持模式切换。</w:t>
            </w:r>
          </w:p>
        </w:tc>
        <w:tc>
          <w:tcPr>
            <w:tcW w:w="698" w:type="dxa"/>
            <w:shd w:val="clear" w:color="auto" w:fill="auto"/>
            <w:noWrap/>
            <w:vAlign w:val="center"/>
          </w:tcPr>
          <w:p w14:paraId="63687021">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1DE069E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56C0B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4C5EA02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34</w:t>
            </w:r>
          </w:p>
        </w:tc>
        <w:tc>
          <w:tcPr>
            <w:tcW w:w="1009" w:type="dxa"/>
            <w:vMerge w:val="continue"/>
            <w:vAlign w:val="center"/>
          </w:tcPr>
          <w:p w14:paraId="163DBF3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5C947171">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547B0F0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3.心电图，护士可以联机获取心电图或者通过拍照的方式，将心电图信息截取发送到心电图室进行判图，支持院内、院前心电图保存，自动计算 FMC2ECG 时间。</w:t>
            </w:r>
          </w:p>
        </w:tc>
        <w:tc>
          <w:tcPr>
            <w:tcW w:w="698" w:type="dxa"/>
            <w:shd w:val="clear" w:color="auto" w:fill="auto"/>
            <w:noWrap/>
            <w:vAlign w:val="center"/>
          </w:tcPr>
          <w:p w14:paraId="2E2A628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40F8D3BE">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3A20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077DB8A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35</w:t>
            </w:r>
          </w:p>
        </w:tc>
        <w:tc>
          <w:tcPr>
            <w:tcW w:w="1009" w:type="dxa"/>
            <w:vMerge w:val="continue"/>
            <w:vAlign w:val="center"/>
          </w:tcPr>
          <w:p w14:paraId="34BC25CE">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58C509A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4002B00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4.来院方式，支持对病人来院方式的快速记录，支持接诊医生、接诊护士选择，支持对全院医护人员进行搜索选择。 </w:t>
            </w:r>
          </w:p>
        </w:tc>
        <w:tc>
          <w:tcPr>
            <w:tcW w:w="698" w:type="dxa"/>
            <w:shd w:val="clear" w:color="auto" w:fill="auto"/>
            <w:noWrap/>
            <w:vAlign w:val="center"/>
          </w:tcPr>
          <w:p w14:paraId="036BB80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57FB253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0EEA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46F7CF5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36</w:t>
            </w:r>
          </w:p>
        </w:tc>
        <w:tc>
          <w:tcPr>
            <w:tcW w:w="1009" w:type="dxa"/>
            <w:vMerge w:val="continue"/>
            <w:vAlign w:val="center"/>
          </w:tcPr>
          <w:p w14:paraId="1B9B96B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0CA2EF10">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7A76736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5. ▲评估表，支持对病人分不同阶段进行生命体征采集及 NIHSS、mRs、BI、吞咽评分，阶段包括：卒中门诊、办住院、溶栓前、溶栓后即刻、溶栓后 24h、溶栓后 7d、 出院等。 </w:t>
            </w:r>
          </w:p>
        </w:tc>
        <w:tc>
          <w:tcPr>
            <w:tcW w:w="698" w:type="dxa"/>
            <w:shd w:val="clear" w:color="auto" w:fill="auto"/>
            <w:noWrap/>
            <w:vAlign w:val="center"/>
          </w:tcPr>
          <w:p w14:paraId="7E224F8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56BBB29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402CF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61E5301E">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37</w:t>
            </w:r>
          </w:p>
        </w:tc>
        <w:tc>
          <w:tcPr>
            <w:tcW w:w="1009" w:type="dxa"/>
            <w:vMerge w:val="continue"/>
            <w:vAlign w:val="center"/>
          </w:tcPr>
          <w:p w14:paraId="1A5C2B6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5D5422D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2D91986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bookmarkStart w:id="313" w:name="RANGE!E89"/>
            <w:r>
              <w:rPr>
                <w:rFonts w:hint="eastAsia" w:ascii="宋体" w:hAnsi="宋体" w:eastAsia="宋体" w:cs="宋体"/>
                <w:color w:val="auto"/>
                <w:kern w:val="0"/>
                <w:sz w:val="24"/>
                <w:szCs w:val="24"/>
                <w14:ligatures w14:val="none"/>
              </w:rPr>
              <w:t xml:space="preserve">6.采血，支持在 APP 上对病人血糖值，血糖结果时间、血常规报告时间、肾功能电解质等记录，部分时间节点支持与院内检验系统对接自动获取数据。 </w:t>
            </w:r>
            <w:bookmarkEnd w:id="313"/>
          </w:p>
        </w:tc>
        <w:tc>
          <w:tcPr>
            <w:tcW w:w="698" w:type="dxa"/>
            <w:shd w:val="clear" w:color="auto" w:fill="auto"/>
            <w:noWrap/>
            <w:vAlign w:val="center"/>
          </w:tcPr>
          <w:p w14:paraId="6B2C11C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72BACDC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1CFD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0E51401B">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38</w:t>
            </w:r>
          </w:p>
        </w:tc>
        <w:tc>
          <w:tcPr>
            <w:tcW w:w="1009" w:type="dxa"/>
            <w:vMerge w:val="continue"/>
            <w:vAlign w:val="center"/>
          </w:tcPr>
          <w:p w14:paraId="48A46162">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5C1E19BB">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03E57E3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w:t>
            </w:r>
            <w:r>
              <w:rPr>
                <w:rFonts w:hint="eastAsia" w:ascii="宋体" w:hAnsi="宋体" w:eastAsia="宋体" w:cs="宋体"/>
                <w:color w:val="auto"/>
                <w:kern w:val="0"/>
                <w:sz w:val="24"/>
                <w:szCs w:val="24"/>
                <w14:ligatures w14:val="none"/>
              </w:rPr>
              <w:t xml:space="preserve"> CT 操作，支持对病人 CT、CTA、CTP 相关时间节点的记录，报告时间支持自动获取。 </w:t>
            </w:r>
          </w:p>
        </w:tc>
        <w:tc>
          <w:tcPr>
            <w:tcW w:w="698" w:type="dxa"/>
            <w:shd w:val="clear" w:color="auto" w:fill="auto"/>
            <w:noWrap/>
            <w:vAlign w:val="center"/>
          </w:tcPr>
          <w:p w14:paraId="1E03ACF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1C0F139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8FA5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010C9A8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39</w:t>
            </w:r>
          </w:p>
        </w:tc>
        <w:tc>
          <w:tcPr>
            <w:tcW w:w="1009" w:type="dxa"/>
            <w:vMerge w:val="continue"/>
            <w:vAlign w:val="center"/>
          </w:tcPr>
          <w:p w14:paraId="2F761552">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7D36474E">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26E251E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8.报告查看，支持在 App 上进行检验报告、检查报告调阅，报告异常指标有醒目标识。</w:t>
            </w:r>
          </w:p>
        </w:tc>
        <w:tc>
          <w:tcPr>
            <w:tcW w:w="698" w:type="dxa"/>
            <w:shd w:val="clear" w:color="auto" w:fill="auto"/>
            <w:noWrap/>
            <w:vAlign w:val="center"/>
          </w:tcPr>
          <w:p w14:paraId="535F41B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532767F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652E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75C6146B">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40</w:t>
            </w:r>
          </w:p>
        </w:tc>
        <w:tc>
          <w:tcPr>
            <w:tcW w:w="1009" w:type="dxa"/>
            <w:vMerge w:val="continue"/>
            <w:vAlign w:val="center"/>
          </w:tcPr>
          <w:p w14:paraId="1D81450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4E03E7E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6AD06D9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9.</w:t>
            </w:r>
            <w:r>
              <w:rPr>
                <w:rFonts w:hint="eastAsia" w:ascii="宋体" w:hAnsi="宋体" w:eastAsia="宋体" w:cs="宋体"/>
                <w:color w:val="auto"/>
                <w:kern w:val="0"/>
                <w:sz w:val="24"/>
                <w:szCs w:val="24"/>
                <w14:ligatures w14:val="none"/>
              </w:rPr>
              <w:t xml:space="preserve"> 质控提醒：支持App端患者详情，头部醒目实时显示卒中关注指标ODT、DNT、ONT、DPT、DRT。</w:t>
            </w:r>
          </w:p>
        </w:tc>
        <w:tc>
          <w:tcPr>
            <w:tcW w:w="698" w:type="dxa"/>
            <w:shd w:val="clear" w:color="auto" w:fill="auto"/>
            <w:noWrap/>
            <w:vAlign w:val="center"/>
          </w:tcPr>
          <w:p w14:paraId="421EB2E1">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19706D9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258F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5CA46BD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41</w:t>
            </w:r>
          </w:p>
        </w:tc>
        <w:tc>
          <w:tcPr>
            <w:tcW w:w="1009" w:type="dxa"/>
            <w:vMerge w:val="continue"/>
            <w:vAlign w:val="center"/>
          </w:tcPr>
          <w:p w14:paraId="2F508785">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14446B8A">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09442D6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10.▲支持AIS静脉溶栓、AIS介入再通、脑出血、颅内动脉瘤、CEA/CAS五种治疗类型数据采集填报，支持后台数据填报完善维护，未填写栏目红色显示，已填写栏目蓝色显示，支持按五种治疗类型及时间段导出Excel。</w:t>
            </w:r>
          </w:p>
        </w:tc>
        <w:tc>
          <w:tcPr>
            <w:tcW w:w="698" w:type="dxa"/>
            <w:shd w:val="clear" w:color="auto" w:fill="auto"/>
            <w:noWrap/>
            <w:vAlign w:val="center"/>
          </w:tcPr>
          <w:p w14:paraId="7497206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469800E1">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4F2EF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21AFE59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42</w:t>
            </w:r>
          </w:p>
        </w:tc>
        <w:tc>
          <w:tcPr>
            <w:tcW w:w="1009" w:type="dxa"/>
            <w:vMerge w:val="continue"/>
            <w:vAlign w:val="center"/>
          </w:tcPr>
          <w:p w14:paraId="3091560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restart"/>
            <w:shd w:val="clear" w:color="auto" w:fill="auto"/>
            <w:noWrap/>
            <w:vAlign w:val="center"/>
          </w:tcPr>
          <w:p w14:paraId="68A88DAB">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2.2.2急诊接诊医生端</w:t>
            </w:r>
          </w:p>
        </w:tc>
        <w:tc>
          <w:tcPr>
            <w:tcW w:w="4866" w:type="dxa"/>
            <w:shd w:val="clear" w:color="000000" w:fill="FFFFFF"/>
            <w:vAlign w:val="center"/>
          </w:tcPr>
          <w:p w14:paraId="6B595A4E">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r>
              <w:rPr>
                <w:rFonts w:hint="eastAsia" w:ascii="宋体" w:hAnsi="宋体" w:eastAsia="宋体" w:cs="宋体"/>
                <w:color w:val="auto"/>
                <w:kern w:val="0"/>
                <w:sz w:val="24"/>
                <w:szCs w:val="24"/>
                <w14:ligatures w14:val="none"/>
              </w:rPr>
              <w:t xml:space="preserve">诊断录入，程序支持医生在手机 APP 下达诊断，诊断预先定义为卒中病种相关，并且可对病情级别进行记录。 </w:t>
            </w:r>
          </w:p>
        </w:tc>
        <w:tc>
          <w:tcPr>
            <w:tcW w:w="698" w:type="dxa"/>
            <w:shd w:val="clear" w:color="auto" w:fill="auto"/>
            <w:noWrap/>
            <w:vAlign w:val="center"/>
          </w:tcPr>
          <w:p w14:paraId="67685C0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BE7876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D4B8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324970B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43</w:t>
            </w:r>
          </w:p>
        </w:tc>
        <w:tc>
          <w:tcPr>
            <w:tcW w:w="1009" w:type="dxa"/>
            <w:vMerge w:val="continue"/>
            <w:vAlign w:val="center"/>
          </w:tcPr>
          <w:p w14:paraId="1B62684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4FE6C52E">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02B7E05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2.溶栓操作，支持溶栓筛查评估，静脉溶栓前查看信息。支持对溶栓相关时间点的记录，如知情同意时间、溶栓开始结束时间记录。 </w:t>
            </w:r>
          </w:p>
        </w:tc>
        <w:tc>
          <w:tcPr>
            <w:tcW w:w="698" w:type="dxa"/>
            <w:shd w:val="clear" w:color="auto" w:fill="auto"/>
            <w:noWrap/>
            <w:vAlign w:val="center"/>
          </w:tcPr>
          <w:p w14:paraId="22284C2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2A51886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75B4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14DC66E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44</w:t>
            </w:r>
          </w:p>
        </w:tc>
        <w:tc>
          <w:tcPr>
            <w:tcW w:w="1009" w:type="dxa"/>
            <w:vMerge w:val="continue"/>
            <w:vAlign w:val="center"/>
          </w:tcPr>
          <w:p w14:paraId="7CCCDF1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3758266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563A314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3.卒中时间轴，APP 程序根据患者的救治过程自动绘制卒中病人时间轴，时间轴上相关的时间节点，可根据医院需求进行自定义设置。 </w:t>
            </w:r>
          </w:p>
        </w:tc>
        <w:tc>
          <w:tcPr>
            <w:tcW w:w="698" w:type="dxa"/>
            <w:shd w:val="clear" w:color="auto" w:fill="auto"/>
            <w:noWrap/>
            <w:vAlign w:val="center"/>
          </w:tcPr>
          <w:p w14:paraId="17A60D9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2EB2F95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1DD0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4ED85AA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45</w:t>
            </w:r>
          </w:p>
        </w:tc>
        <w:tc>
          <w:tcPr>
            <w:tcW w:w="1009" w:type="dxa"/>
            <w:vMerge w:val="continue"/>
            <w:vAlign w:val="center"/>
          </w:tcPr>
          <w:p w14:paraId="0CCDCFA9">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787B4A11">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7EB2259A">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4.卒中病人病历，APP 程序根据患者的救治记录，自动生成卒中病人的救治病历，急诊医生可以查看相关病历，并且进行修改。 </w:t>
            </w:r>
          </w:p>
        </w:tc>
        <w:tc>
          <w:tcPr>
            <w:tcW w:w="698" w:type="dxa"/>
            <w:shd w:val="clear" w:color="auto" w:fill="auto"/>
            <w:noWrap/>
            <w:vAlign w:val="center"/>
          </w:tcPr>
          <w:p w14:paraId="5CD27F7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0627C7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FB6F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0385FFF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46</w:t>
            </w:r>
          </w:p>
        </w:tc>
        <w:tc>
          <w:tcPr>
            <w:tcW w:w="1009" w:type="dxa"/>
            <w:vMerge w:val="continue"/>
            <w:vAlign w:val="center"/>
          </w:tcPr>
          <w:p w14:paraId="6F65C1C9">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3120F205">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2EAB937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5.系统资料库，能支持快速拍照方式，将病人的病历本、心电图、知情同意书等内容拍照存储到患者资料夹中。增加后续查找的方便性,支持后台图片下载、图片打印、打包下载。</w:t>
            </w:r>
          </w:p>
        </w:tc>
        <w:tc>
          <w:tcPr>
            <w:tcW w:w="698" w:type="dxa"/>
            <w:shd w:val="clear" w:color="auto" w:fill="auto"/>
            <w:noWrap/>
            <w:vAlign w:val="center"/>
          </w:tcPr>
          <w:p w14:paraId="778010A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w:t>
            </w:r>
          </w:p>
        </w:tc>
        <w:tc>
          <w:tcPr>
            <w:tcW w:w="709" w:type="dxa"/>
            <w:shd w:val="clear" w:color="auto" w:fill="auto"/>
            <w:noWrap/>
            <w:vAlign w:val="center"/>
          </w:tcPr>
          <w:p w14:paraId="7C7047E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w:t>
            </w:r>
          </w:p>
        </w:tc>
      </w:tr>
      <w:tr w14:paraId="760B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576E004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47</w:t>
            </w:r>
          </w:p>
        </w:tc>
        <w:tc>
          <w:tcPr>
            <w:tcW w:w="1009" w:type="dxa"/>
            <w:vMerge w:val="continue"/>
            <w:vAlign w:val="center"/>
          </w:tcPr>
          <w:p w14:paraId="624D9689">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3551E39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19CCA8A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6、报告查看，支持查看患者检验报告，检查报告，住院病历。检查报告异常指标特殊颜色醒目显示。</w:t>
            </w:r>
          </w:p>
        </w:tc>
        <w:tc>
          <w:tcPr>
            <w:tcW w:w="698" w:type="dxa"/>
            <w:shd w:val="clear" w:color="auto" w:fill="auto"/>
            <w:noWrap/>
            <w:vAlign w:val="center"/>
          </w:tcPr>
          <w:p w14:paraId="6D0F0AC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3F27758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BB49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2C935EC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48</w:t>
            </w:r>
          </w:p>
        </w:tc>
        <w:tc>
          <w:tcPr>
            <w:tcW w:w="1009" w:type="dxa"/>
            <w:vMerge w:val="continue"/>
            <w:vAlign w:val="center"/>
          </w:tcPr>
          <w:p w14:paraId="23C283C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restart"/>
            <w:shd w:val="clear" w:color="auto" w:fill="auto"/>
            <w:noWrap/>
            <w:vAlign w:val="center"/>
          </w:tcPr>
          <w:p w14:paraId="7D51557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2.2.3神经科治疗医生端</w:t>
            </w:r>
          </w:p>
        </w:tc>
        <w:tc>
          <w:tcPr>
            <w:tcW w:w="4866" w:type="dxa"/>
            <w:shd w:val="clear" w:color="000000" w:fill="FFFFFF"/>
            <w:vAlign w:val="center"/>
          </w:tcPr>
          <w:p w14:paraId="3DC83C23">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r>
              <w:rPr>
                <w:rFonts w:hint="eastAsia" w:ascii="宋体" w:hAnsi="宋体" w:eastAsia="宋体" w:cs="宋体"/>
                <w:color w:val="auto"/>
                <w:kern w:val="0"/>
                <w:sz w:val="24"/>
                <w:szCs w:val="24"/>
                <w14:ligatures w14:val="none"/>
              </w:rPr>
              <w:t xml:space="preserve">治疗方案选择，治疗医生在系统上选择患者的治疗策略，可以选择溶栓、介入、手术、或者常规治疗。 </w:t>
            </w:r>
          </w:p>
        </w:tc>
        <w:tc>
          <w:tcPr>
            <w:tcW w:w="698" w:type="dxa"/>
            <w:shd w:val="clear" w:color="auto" w:fill="auto"/>
            <w:noWrap/>
            <w:vAlign w:val="center"/>
          </w:tcPr>
          <w:p w14:paraId="1E6CA87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CA3188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4C9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704" w:type="dxa"/>
            <w:shd w:val="clear" w:color="auto" w:fill="auto"/>
            <w:noWrap/>
            <w:vAlign w:val="center"/>
          </w:tcPr>
          <w:p w14:paraId="18E4E60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49</w:t>
            </w:r>
          </w:p>
        </w:tc>
        <w:tc>
          <w:tcPr>
            <w:tcW w:w="1009" w:type="dxa"/>
            <w:vMerge w:val="continue"/>
            <w:vAlign w:val="center"/>
          </w:tcPr>
          <w:p w14:paraId="73BA0002">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63325DA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1A72296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2.治疗记录，根据选择的治疗方案，支持对治疗过程的记录，如果是溶栓治疗，需要记录溶栓地点，溶栓药物，溶栓起止时间，溶栓再通，并发症等相关信息。如果是介入手术治疗，需要完成对介入人员，导管相关时间的记录。 </w:t>
            </w:r>
          </w:p>
        </w:tc>
        <w:tc>
          <w:tcPr>
            <w:tcW w:w="698" w:type="dxa"/>
            <w:shd w:val="clear" w:color="auto" w:fill="auto"/>
            <w:noWrap/>
            <w:vAlign w:val="center"/>
          </w:tcPr>
          <w:p w14:paraId="392BD70E">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680C993C">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406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04" w:type="dxa"/>
            <w:shd w:val="clear" w:color="auto" w:fill="auto"/>
            <w:noWrap/>
            <w:vAlign w:val="center"/>
          </w:tcPr>
          <w:p w14:paraId="71C1B91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50</w:t>
            </w:r>
          </w:p>
        </w:tc>
        <w:tc>
          <w:tcPr>
            <w:tcW w:w="1009" w:type="dxa"/>
            <w:vMerge w:val="continue"/>
            <w:vAlign w:val="center"/>
          </w:tcPr>
          <w:p w14:paraId="28FCAA72">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418B300A">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74745D3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w:t>
            </w:r>
            <w:r>
              <w:rPr>
                <w:rFonts w:hint="eastAsia" w:ascii="宋体" w:hAnsi="宋体" w:eastAsia="宋体" w:cs="宋体"/>
                <w:color w:val="auto"/>
                <w:kern w:val="0"/>
                <w:sz w:val="24"/>
                <w:szCs w:val="24"/>
                <w14:ligatures w14:val="none"/>
              </w:rPr>
              <w:t xml:space="preserve">患者转归，支持患者转归去向记录，支持离院宣教内容的选择记录。 </w:t>
            </w:r>
          </w:p>
        </w:tc>
        <w:tc>
          <w:tcPr>
            <w:tcW w:w="698" w:type="dxa"/>
            <w:shd w:val="clear" w:color="auto" w:fill="auto"/>
            <w:noWrap/>
            <w:vAlign w:val="center"/>
          </w:tcPr>
          <w:p w14:paraId="298C2B4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2816A62B">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398F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0B09D6C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51</w:t>
            </w:r>
          </w:p>
        </w:tc>
        <w:tc>
          <w:tcPr>
            <w:tcW w:w="1009" w:type="dxa"/>
            <w:vMerge w:val="continue"/>
            <w:vAlign w:val="center"/>
          </w:tcPr>
          <w:p w14:paraId="7D9E0FA3">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6780655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07FB64CC">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4.卒中时间轴，APP 程序根据患者的救治过程自动绘制卒中病人时间轴，时间轴上相关的时间节点，可根据医院需求进行自定义设置。 </w:t>
            </w:r>
          </w:p>
        </w:tc>
        <w:tc>
          <w:tcPr>
            <w:tcW w:w="698" w:type="dxa"/>
            <w:shd w:val="clear" w:color="auto" w:fill="auto"/>
            <w:noWrap/>
            <w:vAlign w:val="center"/>
          </w:tcPr>
          <w:p w14:paraId="123175EC">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6E7F882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3B29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4A544C1B">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52</w:t>
            </w:r>
          </w:p>
        </w:tc>
        <w:tc>
          <w:tcPr>
            <w:tcW w:w="1009" w:type="dxa"/>
            <w:vMerge w:val="continue"/>
            <w:vAlign w:val="center"/>
          </w:tcPr>
          <w:p w14:paraId="5C595B4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3681ECAB">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7201E820">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5.卒中病人病历，APP 程序根据患者的救治记录，自动生成卒中病人的救治病历，急诊医生可以查看相关病历，并且进行修改。 </w:t>
            </w:r>
          </w:p>
        </w:tc>
        <w:tc>
          <w:tcPr>
            <w:tcW w:w="698" w:type="dxa"/>
            <w:shd w:val="clear" w:color="auto" w:fill="auto"/>
            <w:noWrap/>
            <w:vAlign w:val="center"/>
          </w:tcPr>
          <w:p w14:paraId="7C725DE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35C9E01">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0694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0E591E5B">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53</w:t>
            </w:r>
          </w:p>
        </w:tc>
        <w:tc>
          <w:tcPr>
            <w:tcW w:w="1009" w:type="dxa"/>
            <w:vMerge w:val="continue"/>
            <w:vAlign w:val="center"/>
          </w:tcPr>
          <w:p w14:paraId="0E90550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7FFEDD73">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3C46C47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6.▲血压监测，支持对溶栓患者血压进行持续监测，时间点为：15min、30min、45min、60min、75min、90min、105min、120min、2.5hr、3hr 等时间记录，数据可以手动记录，也可与中央监护仪对接，自动采集获取。</w:t>
            </w:r>
          </w:p>
        </w:tc>
        <w:tc>
          <w:tcPr>
            <w:tcW w:w="698" w:type="dxa"/>
            <w:shd w:val="clear" w:color="auto" w:fill="auto"/>
            <w:noWrap/>
            <w:vAlign w:val="center"/>
          </w:tcPr>
          <w:p w14:paraId="34380E9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41A3BCB">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F11D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010EAD2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54</w:t>
            </w:r>
          </w:p>
        </w:tc>
        <w:tc>
          <w:tcPr>
            <w:tcW w:w="1009" w:type="dxa"/>
            <w:vMerge w:val="restart"/>
            <w:shd w:val="clear" w:color="000000" w:fill="FFFFFF"/>
            <w:vAlign w:val="center"/>
          </w:tcPr>
          <w:p w14:paraId="1D4EB11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2.3两大中心基础通用公共部分</w:t>
            </w:r>
          </w:p>
        </w:tc>
        <w:tc>
          <w:tcPr>
            <w:tcW w:w="1087" w:type="dxa"/>
            <w:vMerge w:val="restart"/>
            <w:shd w:val="clear" w:color="auto" w:fill="auto"/>
            <w:noWrap/>
            <w:vAlign w:val="center"/>
          </w:tcPr>
          <w:p w14:paraId="6034BC3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2.3.1</w:t>
            </w:r>
            <w:r>
              <w:rPr>
                <w:rFonts w:hint="eastAsia" w:ascii="宋体" w:hAnsi="宋体" w:eastAsia="宋体" w:cs="宋体"/>
                <w:b/>
                <w:bCs/>
                <w:color w:val="auto"/>
                <w:kern w:val="0"/>
                <w:sz w:val="24"/>
                <w:szCs w:val="24"/>
                <w14:ligatures w14:val="none"/>
              </w:rPr>
              <w:t>两</w:t>
            </w:r>
            <w:r>
              <w:rPr>
                <w:rFonts w:hint="eastAsia" w:ascii="宋体" w:hAnsi="宋体" w:eastAsia="宋体" w:cs="宋体"/>
                <w:b/>
                <w:bCs/>
                <w:color w:val="auto"/>
                <w:kern w:val="0"/>
                <w:sz w:val="24"/>
                <w:szCs w:val="24"/>
                <w14:ligatures w14:val="none"/>
              </w:rPr>
              <w:t>大中心质控管理</w:t>
            </w:r>
          </w:p>
        </w:tc>
        <w:tc>
          <w:tcPr>
            <w:tcW w:w="4866" w:type="dxa"/>
            <w:shd w:val="clear" w:color="000000" w:fill="FFFFFF"/>
            <w:vAlign w:val="center"/>
          </w:tcPr>
          <w:p w14:paraId="1F85B62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1.质控指标设置：支持按照病种设定需要监控的质控指标数据，并且可以为每项指标设置阈值。例如卒中病人 DNT 时间要求 60 分钟，D2B 时间要求 90 分钟等。 </w:t>
            </w:r>
          </w:p>
        </w:tc>
        <w:tc>
          <w:tcPr>
            <w:tcW w:w="698" w:type="dxa"/>
            <w:shd w:val="clear" w:color="auto" w:fill="auto"/>
            <w:noWrap/>
            <w:vAlign w:val="center"/>
          </w:tcPr>
          <w:p w14:paraId="69BBF24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7A3365C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C1DA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3666BAF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55</w:t>
            </w:r>
          </w:p>
        </w:tc>
        <w:tc>
          <w:tcPr>
            <w:tcW w:w="1009" w:type="dxa"/>
            <w:vMerge w:val="continue"/>
            <w:vAlign w:val="center"/>
          </w:tcPr>
          <w:p w14:paraId="1A8AA930">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4DCB10B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6CC5A9B2">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2.质控提醒，程序运行过程程序中，对质控指标进行动态计算，实时提醒。 </w:t>
            </w:r>
          </w:p>
        </w:tc>
        <w:tc>
          <w:tcPr>
            <w:tcW w:w="698" w:type="dxa"/>
            <w:shd w:val="clear" w:color="auto" w:fill="auto"/>
            <w:noWrap/>
            <w:vAlign w:val="center"/>
          </w:tcPr>
          <w:p w14:paraId="6009925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6FF2022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82A5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704" w:type="dxa"/>
            <w:shd w:val="clear" w:color="auto" w:fill="auto"/>
            <w:noWrap/>
            <w:vAlign w:val="center"/>
          </w:tcPr>
          <w:p w14:paraId="75EF7A0C">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56</w:t>
            </w:r>
          </w:p>
        </w:tc>
        <w:tc>
          <w:tcPr>
            <w:tcW w:w="1009" w:type="dxa"/>
            <w:vMerge w:val="continue"/>
            <w:vAlign w:val="center"/>
          </w:tcPr>
          <w:p w14:paraId="6749215C">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057C62E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35F4D38A">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w:t>
            </w:r>
            <w:r>
              <w:rPr>
                <w:rFonts w:hint="eastAsia" w:ascii="宋体" w:hAnsi="宋体" w:eastAsia="宋体" w:cs="宋体"/>
                <w:color w:val="auto"/>
                <w:kern w:val="0"/>
                <w:sz w:val="24"/>
                <w:szCs w:val="24"/>
                <w14:ligatures w14:val="none"/>
              </w:rPr>
              <w:t xml:space="preserve">质控指标统计分析：系统支持对溶栓人数、比率统计、介入人数、比率统计、D2B 平均时间统计、ECG 平均时间统计、DNT 平均时间统计、ODT 平均时间统计、头部CT 平均时间统计、60 分钟溶栓完成比率统计等指标数据的统计，可以按全院角度分时间段统计相关的指标的数据，同时支持对数据的下钻，支持按照单个病人统计病人进行个案分析。 </w:t>
            </w:r>
          </w:p>
        </w:tc>
        <w:tc>
          <w:tcPr>
            <w:tcW w:w="698" w:type="dxa"/>
            <w:shd w:val="clear" w:color="auto" w:fill="auto"/>
            <w:noWrap/>
            <w:vAlign w:val="center"/>
          </w:tcPr>
          <w:p w14:paraId="2B2CAD1A">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48E785A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0566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511F4EB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57</w:t>
            </w:r>
          </w:p>
        </w:tc>
        <w:tc>
          <w:tcPr>
            <w:tcW w:w="1009" w:type="dxa"/>
            <w:vMerge w:val="continue"/>
            <w:vAlign w:val="center"/>
          </w:tcPr>
          <w:p w14:paraId="49E7F31E">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24BEF9B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32676EB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4.支持手机 APP 上自动计算胸痛患者的 D2B、D2N、FMC2N、FMC2W 质控时间，卒中患者的 ODT、DNT、ONT、DPT、DRT 质控时间。</w:t>
            </w:r>
          </w:p>
        </w:tc>
        <w:tc>
          <w:tcPr>
            <w:tcW w:w="698" w:type="dxa"/>
            <w:shd w:val="clear" w:color="auto" w:fill="auto"/>
            <w:noWrap/>
            <w:vAlign w:val="center"/>
          </w:tcPr>
          <w:p w14:paraId="7E5385E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w:t>
            </w:r>
          </w:p>
        </w:tc>
        <w:tc>
          <w:tcPr>
            <w:tcW w:w="709" w:type="dxa"/>
            <w:shd w:val="clear" w:color="auto" w:fill="auto"/>
            <w:noWrap/>
            <w:vAlign w:val="center"/>
          </w:tcPr>
          <w:p w14:paraId="639E28F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w:t>
            </w:r>
          </w:p>
        </w:tc>
      </w:tr>
      <w:tr w14:paraId="0F416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3064808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58</w:t>
            </w:r>
          </w:p>
        </w:tc>
        <w:tc>
          <w:tcPr>
            <w:tcW w:w="1009" w:type="dxa"/>
            <w:vMerge w:val="continue"/>
            <w:vAlign w:val="center"/>
          </w:tcPr>
          <w:p w14:paraId="7080882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3DD837C0">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6C99A36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bookmarkStart w:id="314" w:name="RANGE!E110"/>
            <w:r>
              <w:rPr>
                <w:rFonts w:hint="eastAsia" w:ascii="宋体" w:hAnsi="宋体" w:eastAsia="宋体" w:cs="宋体"/>
                <w:color w:val="auto"/>
                <w:kern w:val="0"/>
                <w:sz w:val="24"/>
                <w:szCs w:val="24"/>
                <w14:ligatures w14:val="none"/>
              </w:rPr>
              <w:t>5.支持在患者主界面，用红色三角感叹醒目显示提醒异常，点击可查看异常信息。</w:t>
            </w:r>
            <w:bookmarkEnd w:id="314"/>
          </w:p>
        </w:tc>
        <w:tc>
          <w:tcPr>
            <w:tcW w:w="698" w:type="dxa"/>
            <w:shd w:val="clear" w:color="auto" w:fill="auto"/>
            <w:noWrap/>
            <w:vAlign w:val="center"/>
          </w:tcPr>
          <w:p w14:paraId="4DDB32A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94FDD4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3453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29510BD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59</w:t>
            </w:r>
          </w:p>
        </w:tc>
        <w:tc>
          <w:tcPr>
            <w:tcW w:w="1009" w:type="dxa"/>
            <w:vMerge w:val="continue"/>
            <w:vAlign w:val="center"/>
          </w:tcPr>
          <w:p w14:paraId="0D20F98B">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restart"/>
            <w:shd w:val="clear" w:color="auto" w:fill="auto"/>
            <w:noWrap/>
            <w:vAlign w:val="center"/>
          </w:tcPr>
          <w:p w14:paraId="078EC51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2.3.2时间点自动采集</w:t>
            </w:r>
          </w:p>
        </w:tc>
        <w:tc>
          <w:tcPr>
            <w:tcW w:w="4866" w:type="dxa"/>
            <w:shd w:val="clear" w:color="000000" w:fill="FFFFFF"/>
            <w:vAlign w:val="center"/>
          </w:tcPr>
          <w:p w14:paraId="76CFE4C2">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r>
              <w:rPr>
                <w:rFonts w:hint="eastAsia" w:ascii="宋体" w:hAnsi="宋体" w:eastAsia="宋体" w:cs="宋体"/>
                <w:color w:val="auto"/>
                <w:kern w:val="0"/>
                <w:sz w:val="24"/>
                <w:szCs w:val="24"/>
                <w14:ligatures w14:val="none"/>
              </w:rPr>
              <w:t xml:space="preserve"> RFID 腕带设备的重复使用，系统支持对 RFID 设备进行状态重置和授予病人等操作。 </w:t>
            </w:r>
          </w:p>
        </w:tc>
        <w:tc>
          <w:tcPr>
            <w:tcW w:w="698" w:type="dxa"/>
            <w:shd w:val="clear" w:color="auto" w:fill="auto"/>
            <w:noWrap/>
            <w:vAlign w:val="center"/>
          </w:tcPr>
          <w:p w14:paraId="4DE0220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2A6E3DE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C44E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461A4D4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60</w:t>
            </w:r>
          </w:p>
        </w:tc>
        <w:tc>
          <w:tcPr>
            <w:tcW w:w="1009" w:type="dxa"/>
            <w:vMerge w:val="continue"/>
            <w:vAlign w:val="center"/>
          </w:tcPr>
          <w:p w14:paraId="696CB0DC">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213E8DA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28902833">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w:t>
            </w:r>
            <w:r>
              <w:rPr>
                <w:rFonts w:hint="eastAsia" w:ascii="宋体" w:hAnsi="宋体" w:eastAsia="宋体" w:cs="宋体"/>
                <w:color w:val="auto"/>
                <w:kern w:val="0"/>
                <w:sz w:val="24"/>
                <w:szCs w:val="24"/>
                <w14:ligatures w14:val="none"/>
              </w:rPr>
              <w:t xml:space="preserve">支持分诊台扫描腕带，快速创建患者，并将患者和腕带建立起关联关系。 </w:t>
            </w:r>
          </w:p>
        </w:tc>
        <w:tc>
          <w:tcPr>
            <w:tcW w:w="698" w:type="dxa"/>
            <w:shd w:val="clear" w:color="auto" w:fill="auto"/>
            <w:noWrap/>
            <w:vAlign w:val="center"/>
          </w:tcPr>
          <w:p w14:paraId="38F8E5E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434952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47A9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04" w:type="dxa"/>
            <w:shd w:val="clear" w:color="auto" w:fill="auto"/>
            <w:noWrap/>
            <w:vAlign w:val="center"/>
          </w:tcPr>
          <w:p w14:paraId="7168F66B">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61</w:t>
            </w:r>
          </w:p>
        </w:tc>
        <w:tc>
          <w:tcPr>
            <w:tcW w:w="1009" w:type="dxa"/>
            <w:vMerge w:val="continue"/>
            <w:vAlign w:val="center"/>
          </w:tcPr>
          <w:p w14:paraId="08E75FD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0318B37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44B3B6D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3.支持佩戴腕带患者到达和离开相应区域时自动获取进入和离开时间点。 </w:t>
            </w:r>
          </w:p>
        </w:tc>
        <w:tc>
          <w:tcPr>
            <w:tcW w:w="698" w:type="dxa"/>
            <w:shd w:val="clear" w:color="auto" w:fill="auto"/>
            <w:noWrap/>
            <w:vAlign w:val="center"/>
          </w:tcPr>
          <w:p w14:paraId="533C95DB">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2A6E7F8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554A9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27F6034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62</w:t>
            </w:r>
          </w:p>
        </w:tc>
        <w:tc>
          <w:tcPr>
            <w:tcW w:w="1009" w:type="dxa"/>
            <w:vMerge w:val="continue"/>
            <w:vAlign w:val="center"/>
          </w:tcPr>
          <w:p w14:paraId="29138152">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4551FFC0">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091616F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4.支持和胸痛卒中系统的无缝对接，采集的时间点为全院统一时钟的服务器时间。 </w:t>
            </w:r>
          </w:p>
        </w:tc>
        <w:tc>
          <w:tcPr>
            <w:tcW w:w="698" w:type="dxa"/>
            <w:shd w:val="clear" w:color="auto" w:fill="auto"/>
            <w:noWrap/>
            <w:vAlign w:val="center"/>
          </w:tcPr>
          <w:p w14:paraId="7496343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6EEA49C1">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2823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04" w:type="dxa"/>
            <w:shd w:val="clear" w:color="auto" w:fill="auto"/>
            <w:noWrap/>
            <w:vAlign w:val="center"/>
          </w:tcPr>
          <w:p w14:paraId="6D5D7A1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63</w:t>
            </w:r>
          </w:p>
        </w:tc>
        <w:tc>
          <w:tcPr>
            <w:tcW w:w="1009" w:type="dxa"/>
            <w:vMerge w:val="continue"/>
            <w:vAlign w:val="center"/>
          </w:tcPr>
          <w:p w14:paraId="4E95BA8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19D68BBC">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0F54F811">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w:t>
            </w:r>
            <w:r>
              <w:rPr>
                <w:rFonts w:hint="eastAsia" w:ascii="宋体" w:hAnsi="宋体" w:eastAsia="宋体" w:cs="宋体"/>
                <w:color w:val="auto"/>
                <w:kern w:val="0"/>
                <w:sz w:val="24"/>
                <w:szCs w:val="24"/>
                <w14:ligatures w14:val="none"/>
              </w:rPr>
              <w:t xml:space="preserve">提供 App 端实时展示患者位置及时间点。 </w:t>
            </w:r>
          </w:p>
        </w:tc>
        <w:tc>
          <w:tcPr>
            <w:tcW w:w="698" w:type="dxa"/>
            <w:shd w:val="clear" w:color="auto" w:fill="auto"/>
            <w:noWrap/>
            <w:vAlign w:val="center"/>
          </w:tcPr>
          <w:p w14:paraId="6E8E1B0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5B4AA78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5F76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04" w:type="dxa"/>
            <w:shd w:val="clear" w:color="auto" w:fill="auto"/>
            <w:noWrap/>
            <w:vAlign w:val="center"/>
          </w:tcPr>
          <w:p w14:paraId="6DCA5F8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64</w:t>
            </w:r>
          </w:p>
        </w:tc>
        <w:tc>
          <w:tcPr>
            <w:tcW w:w="1009" w:type="dxa"/>
            <w:vMerge w:val="continue"/>
            <w:vAlign w:val="center"/>
          </w:tcPr>
          <w:p w14:paraId="39A6964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4690B8EB">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64E7170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w:t>
            </w:r>
            <w:r>
              <w:rPr>
                <w:rFonts w:hint="eastAsia" w:ascii="宋体" w:hAnsi="宋体" w:eastAsia="宋体" w:cs="宋体"/>
                <w:color w:val="auto"/>
                <w:kern w:val="0"/>
                <w:sz w:val="24"/>
                <w:szCs w:val="24"/>
                <w14:ligatures w14:val="none"/>
              </w:rPr>
              <w:t>提供基于采集时间的大数据分析，帮助医院更好的做质控</w:t>
            </w:r>
          </w:p>
        </w:tc>
        <w:tc>
          <w:tcPr>
            <w:tcW w:w="698" w:type="dxa"/>
            <w:shd w:val="clear" w:color="auto" w:fill="auto"/>
            <w:noWrap/>
            <w:vAlign w:val="center"/>
          </w:tcPr>
          <w:p w14:paraId="7855AAC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49583F5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5D6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4" w:type="dxa"/>
            <w:shd w:val="clear" w:color="auto" w:fill="auto"/>
            <w:noWrap/>
            <w:vAlign w:val="center"/>
          </w:tcPr>
          <w:p w14:paraId="77F302A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65</w:t>
            </w:r>
          </w:p>
        </w:tc>
        <w:tc>
          <w:tcPr>
            <w:tcW w:w="1009" w:type="dxa"/>
            <w:vMerge w:val="continue"/>
            <w:vAlign w:val="center"/>
          </w:tcPr>
          <w:p w14:paraId="31DF706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restart"/>
            <w:shd w:val="clear" w:color="auto" w:fill="auto"/>
            <w:noWrap/>
            <w:vAlign w:val="center"/>
          </w:tcPr>
          <w:p w14:paraId="7B98A07C">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2.3.3数据上报系统</w:t>
            </w:r>
          </w:p>
        </w:tc>
        <w:tc>
          <w:tcPr>
            <w:tcW w:w="4866" w:type="dxa"/>
            <w:shd w:val="clear" w:color="000000" w:fill="FFFFFF"/>
            <w:vAlign w:val="center"/>
          </w:tcPr>
          <w:p w14:paraId="47F552B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1.数据整理：系统内部通过整合 RFID 采集的数据，从 HIS、医技系统采集到的数据、胸痛、卒中、创伤中心系统的相关数据，自动生成待上报的病人档案。</w:t>
            </w:r>
          </w:p>
        </w:tc>
        <w:tc>
          <w:tcPr>
            <w:tcW w:w="698" w:type="dxa"/>
            <w:shd w:val="clear" w:color="auto" w:fill="auto"/>
            <w:noWrap/>
            <w:vAlign w:val="center"/>
          </w:tcPr>
          <w:p w14:paraId="52F2D2D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22A41A5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CAD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704" w:type="dxa"/>
            <w:shd w:val="clear" w:color="auto" w:fill="auto"/>
            <w:noWrap/>
            <w:vAlign w:val="center"/>
          </w:tcPr>
          <w:p w14:paraId="723E249C">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66</w:t>
            </w:r>
          </w:p>
        </w:tc>
        <w:tc>
          <w:tcPr>
            <w:tcW w:w="1009" w:type="dxa"/>
            <w:vMerge w:val="continue"/>
            <w:vAlign w:val="center"/>
          </w:tcPr>
          <w:p w14:paraId="5C7366E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3980AA25">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0D824AC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bookmarkStart w:id="315" w:name="RANGE!E118"/>
            <w:r>
              <w:rPr>
                <w:rFonts w:hint="eastAsia" w:ascii="宋体" w:hAnsi="宋体" w:eastAsia="宋体" w:cs="宋体"/>
                <w:color w:val="auto"/>
                <w:kern w:val="0"/>
                <w:sz w:val="24"/>
                <w:szCs w:val="24"/>
                <w14:ligatures w14:val="none"/>
              </w:rPr>
              <w:t xml:space="preserve">2.数据审核：生成的待上报病人档案数据需要填报员进入系统填报页面查看、审核后，方才能进行与国家平台对接，实现自动上报，查看审核过程可点击智能分析功能，汇总查看档案内不完善的内容，数据填报员可进行对异常数据的修改。 </w:t>
            </w:r>
            <w:bookmarkEnd w:id="315"/>
          </w:p>
        </w:tc>
        <w:tc>
          <w:tcPr>
            <w:tcW w:w="698" w:type="dxa"/>
            <w:shd w:val="clear" w:color="auto" w:fill="auto"/>
            <w:noWrap/>
            <w:vAlign w:val="center"/>
          </w:tcPr>
          <w:p w14:paraId="38AD7FD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31A6FD7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61A8A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4C5C9C8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67</w:t>
            </w:r>
          </w:p>
        </w:tc>
        <w:tc>
          <w:tcPr>
            <w:tcW w:w="1009" w:type="dxa"/>
            <w:vMerge w:val="continue"/>
            <w:vAlign w:val="center"/>
          </w:tcPr>
          <w:p w14:paraId="0C20663B">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51C92D25">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5A2CC1F4">
            <w:pPr>
              <w:pageBreakBefore w:val="0"/>
              <w:kinsoku/>
              <w:wordWrap/>
              <w:overflowPunct/>
              <w:topLinePunct w:val="0"/>
              <w:autoSpaceDE/>
              <w:autoSpaceDN/>
              <w:bidi w:val="0"/>
              <w:spacing w:line="480" w:lineRule="exact"/>
              <w:ind w:firstLine="0" w:firstLineChars="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14:ligatures w14:val="none"/>
              </w:rPr>
              <w:t>3.数</w:t>
            </w:r>
            <w:r>
              <w:rPr>
                <w:rFonts w:hint="eastAsia" w:ascii="宋体" w:hAnsi="宋体" w:eastAsia="宋体" w:cs="宋体"/>
                <w:color w:val="auto"/>
                <w:kern w:val="0"/>
                <w:sz w:val="24"/>
                <w:szCs w:val="24"/>
                <w14:ligatures w14:val="none"/>
              </w:rPr>
              <w:t>据上报：审核校验数据后，实现上报国家或省平台的卒中胸痛中心数据填报。</w:t>
            </w:r>
          </w:p>
        </w:tc>
        <w:tc>
          <w:tcPr>
            <w:tcW w:w="698" w:type="dxa"/>
            <w:shd w:val="clear" w:color="auto" w:fill="auto"/>
            <w:noWrap/>
            <w:vAlign w:val="center"/>
          </w:tcPr>
          <w:p w14:paraId="418C02DB">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57539D7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72EF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6427A2F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68</w:t>
            </w:r>
          </w:p>
        </w:tc>
        <w:tc>
          <w:tcPr>
            <w:tcW w:w="1009" w:type="dxa"/>
            <w:vMerge w:val="continue"/>
            <w:vAlign w:val="center"/>
          </w:tcPr>
          <w:p w14:paraId="2ACEE31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restart"/>
            <w:shd w:val="clear" w:color="auto" w:fill="auto"/>
            <w:noWrap/>
            <w:vAlign w:val="center"/>
          </w:tcPr>
          <w:p w14:paraId="36E076E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2.3.4</w:t>
            </w:r>
            <w:r>
              <w:rPr>
                <w:rFonts w:hint="eastAsia" w:ascii="宋体" w:hAnsi="宋体" w:eastAsia="宋体" w:cs="宋体"/>
                <w:b/>
                <w:bCs/>
                <w:color w:val="auto"/>
                <w:kern w:val="0"/>
                <w:sz w:val="24"/>
                <w:szCs w:val="24"/>
                <w14:ligatures w14:val="none"/>
              </w:rPr>
              <w:t>两</w:t>
            </w:r>
            <w:r>
              <w:rPr>
                <w:rFonts w:hint="eastAsia" w:ascii="宋体" w:hAnsi="宋体" w:eastAsia="宋体" w:cs="宋体"/>
                <w:b/>
                <w:bCs/>
                <w:color w:val="auto"/>
                <w:kern w:val="0"/>
                <w:sz w:val="24"/>
                <w:szCs w:val="24"/>
                <w14:ligatures w14:val="none"/>
              </w:rPr>
              <w:t>大中心病人随访管理</w:t>
            </w:r>
          </w:p>
        </w:tc>
        <w:tc>
          <w:tcPr>
            <w:tcW w:w="4866" w:type="dxa"/>
            <w:shd w:val="clear" w:color="000000" w:fill="FFFFFF"/>
            <w:vAlign w:val="center"/>
          </w:tcPr>
          <w:p w14:paraId="5DF6FEC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1.随访人员设定：根据诊断，设置系统需要纳入随访的诊断。默认将诊断为卒中与胸痛相关的诊断纳入。 </w:t>
            </w:r>
          </w:p>
        </w:tc>
        <w:tc>
          <w:tcPr>
            <w:tcW w:w="698" w:type="dxa"/>
            <w:shd w:val="clear" w:color="auto" w:fill="auto"/>
            <w:noWrap/>
            <w:vAlign w:val="center"/>
          </w:tcPr>
          <w:p w14:paraId="0D71371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5872D62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49D8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704" w:type="dxa"/>
            <w:shd w:val="clear" w:color="auto" w:fill="auto"/>
            <w:noWrap/>
            <w:vAlign w:val="center"/>
          </w:tcPr>
          <w:p w14:paraId="325CBC0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69</w:t>
            </w:r>
          </w:p>
        </w:tc>
        <w:tc>
          <w:tcPr>
            <w:tcW w:w="1009" w:type="dxa"/>
            <w:vMerge w:val="continue"/>
            <w:vAlign w:val="center"/>
          </w:tcPr>
          <w:p w14:paraId="4BC4784B">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3265985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2C63728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 xml:space="preserve">2.病人档案建立（患者同步导入）：接收病人出院数据，将出院诊断符合设定的范围内的病人，自动提取，可勾选病人添加到待随访病人列表，同时系统会提取病人在 HIS 内的医嘱等诊疗数据。随访系统内支持病人的多次诊疗记录的调阅。 </w:t>
            </w:r>
          </w:p>
        </w:tc>
        <w:tc>
          <w:tcPr>
            <w:tcW w:w="698" w:type="dxa"/>
            <w:shd w:val="clear" w:color="auto" w:fill="auto"/>
            <w:noWrap/>
            <w:vAlign w:val="center"/>
          </w:tcPr>
          <w:p w14:paraId="5714B83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61B522DE">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67F7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704" w:type="dxa"/>
            <w:shd w:val="clear" w:color="auto" w:fill="auto"/>
            <w:noWrap/>
            <w:vAlign w:val="center"/>
          </w:tcPr>
          <w:p w14:paraId="6B22F58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70</w:t>
            </w:r>
          </w:p>
        </w:tc>
        <w:tc>
          <w:tcPr>
            <w:tcW w:w="1009" w:type="dxa"/>
            <w:vMerge w:val="continue"/>
            <w:vAlign w:val="center"/>
          </w:tcPr>
          <w:p w14:paraId="0D7AFD81">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5FF51D0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03471A0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w:t>
            </w:r>
            <w:r>
              <w:rPr>
                <w:rFonts w:hint="eastAsia" w:ascii="宋体" w:hAnsi="宋体" w:eastAsia="宋体" w:cs="宋体"/>
                <w:color w:val="auto"/>
                <w:kern w:val="0"/>
                <w:sz w:val="24"/>
                <w:szCs w:val="24"/>
                <w14:ligatures w14:val="none"/>
              </w:rPr>
              <w:t xml:space="preserve"> 随访计划制定：系统支持根据病种诊断制定随访计划，可根据诊断制定多个随访计划，每个随访计划内预定义需要随访的内容已经对应的时间段。建立好病人档案后， 将病人纳入到随访计划中。系统显示今日待随访人数、本周待随访人数、本月待随访人数、本季度待随访人数。 </w:t>
            </w:r>
          </w:p>
        </w:tc>
        <w:tc>
          <w:tcPr>
            <w:tcW w:w="698" w:type="dxa"/>
            <w:shd w:val="clear" w:color="auto" w:fill="auto"/>
            <w:noWrap/>
            <w:vAlign w:val="center"/>
          </w:tcPr>
          <w:p w14:paraId="462FC25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26390F1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7D51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5DE96E1A">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71</w:t>
            </w:r>
          </w:p>
        </w:tc>
        <w:tc>
          <w:tcPr>
            <w:tcW w:w="1009" w:type="dxa"/>
            <w:vMerge w:val="continue"/>
            <w:vAlign w:val="center"/>
          </w:tcPr>
          <w:p w14:paraId="223B4719">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5C16102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388ED09E">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4.</w:t>
            </w:r>
            <w:r>
              <w:rPr>
                <w:rFonts w:hint="eastAsia" w:ascii="宋体" w:hAnsi="宋体" w:eastAsia="宋体" w:cs="宋体"/>
                <w:color w:val="auto"/>
                <w:kern w:val="0"/>
                <w:sz w:val="24"/>
                <w:szCs w:val="24"/>
                <w14:ligatures w14:val="none"/>
              </w:rPr>
              <w:t xml:space="preserve">  随访执行结果录入：根据随访任务预先设定的内容，进行结果录入，同时支持随访员手动添加随访内容进行结果录入。 </w:t>
            </w:r>
          </w:p>
        </w:tc>
        <w:tc>
          <w:tcPr>
            <w:tcW w:w="698" w:type="dxa"/>
            <w:shd w:val="clear" w:color="auto" w:fill="auto"/>
            <w:noWrap/>
            <w:vAlign w:val="center"/>
          </w:tcPr>
          <w:p w14:paraId="352AAA3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6F56588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CB65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08DC7D6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72</w:t>
            </w:r>
          </w:p>
        </w:tc>
        <w:tc>
          <w:tcPr>
            <w:tcW w:w="1009" w:type="dxa"/>
            <w:vMerge w:val="continue"/>
            <w:vAlign w:val="center"/>
          </w:tcPr>
          <w:p w14:paraId="6BB743DA">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vMerge w:val="continue"/>
            <w:vAlign w:val="center"/>
          </w:tcPr>
          <w:p w14:paraId="70255CC8">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4866" w:type="dxa"/>
            <w:shd w:val="clear" w:color="000000" w:fill="FFFFFF"/>
            <w:vAlign w:val="center"/>
          </w:tcPr>
          <w:p w14:paraId="0C786A2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w:t>
            </w:r>
            <w:r>
              <w:rPr>
                <w:rFonts w:hint="eastAsia" w:ascii="宋体" w:hAnsi="宋体" w:eastAsia="宋体" w:cs="宋体"/>
                <w:color w:val="auto"/>
                <w:kern w:val="0"/>
                <w:sz w:val="24"/>
                <w:szCs w:val="24"/>
                <w14:ligatures w14:val="none"/>
              </w:rPr>
              <w:t xml:space="preserve"> 随访任务统计：统计阶段时间内随访病人的统计，随访任务的统计，随访结果的统计等。</w:t>
            </w:r>
          </w:p>
        </w:tc>
        <w:tc>
          <w:tcPr>
            <w:tcW w:w="698" w:type="dxa"/>
            <w:shd w:val="clear" w:color="auto" w:fill="auto"/>
            <w:noWrap/>
            <w:vAlign w:val="center"/>
          </w:tcPr>
          <w:p w14:paraId="295B02AC">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2C94F58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736D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04" w:type="dxa"/>
            <w:shd w:val="clear" w:color="auto" w:fill="auto"/>
            <w:noWrap/>
            <w:vAlign w:val="center"/>
          </w:tcPr>
          <w:p w14:paraId="133311CA">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73</w:t>
            </w:r>
          </w:p>
        </w:tc>
        <w:tc>
          <w:tcPr>
            <w:tcW w:w="1009" w:type="dxa"/>
            <w:vMerge w:val="restart"/>
            <w:shd w:val="clear" w:color="auto" w:fill="auto"/>
            <w:noWrap/>
            <w:vAlign w:val="center"/>
          </w:tcPr>
          <w:p w14:paraId="554ADC0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2.4两大中心时间点采集硬件</w:t>
            </w:r>
          </w:p>
        </w:tc>
        <w:tc>
          <w:tcPr>
            <w:tcW w:w="1087" w:type="dxa"/>
            <w:shd w:val="clear" w:color="auto" w:fill="auto"/>
            <w:noWrap/>
            <w:vAlign w:val="center"/>
          </w:tcPr>
          <w:p w14:paraId="330299D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2.4.1定位基站（抢救室、ct室、核磁共振室、介入手术室、心内科、神经内科）</w:t>
            </w:r>
          </w:p>
        </w:tc>
        <w:tc>
          <w:tcPr>
            <w:tcW w:w="4866" w:type="dxa"/>
            <w:shd w:val="clear" w:color="000000" w:fill="FFFFFF"/>
            <w:vAlign w:val="center"/>
          </w:tcPr>
          <w:p w14:paraId="594E7A79">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工作频段:2.4GHz~2.483GHz</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高频参数：2.45GHz　 250K速率　　FSK调制方式</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低频参数：125KHz  FSK调制方式</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激活距离：小于4米（直径）</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通讯协议：TCP/IP客户端</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工作电压：24V~48V</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额定功率：&lt;12W</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网线：超6类铜质网线进行标准网络连接方式</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供电：支持标准 802.3af  PoE供电，供电电压应小于50V</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安装方式：吸顶安装</w:t>
            </w:r>
          </w:p>
        </w:tc>
        <w:tc>
          <w:tcPr>
            <w:tcW w:w="698" w:type="dxa"/>
            <w:shd w:val="clear" w:color="auto" w:fill="auto"/>
            <w:noWrap/>
            <w:vAlign w:val="center"/>
          </w:tcPr>
          <w:p w14:paraId="58C8B05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w:t>
            </w:r>
          </w:p>
        </w:tc>
        <w:tc>
          <w:tcPr>
            <w:tcW w:w="709" w:type="dxa"/>
            <w:shd w:val="clear" w:color="auto" w:fill="auto"/>
            <w:noWrap/>
            <w:vAlign w:val="center"/>
          </w:tcPr>
          <w:p w14:paraId="7DC9469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7A3D1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9" w:hRule="atLeast"/>
          <w:jc w:val="center"/>
        </w:trPr>
        <w:tc>
          <w:tcPr>
            <w:tcW w:w="704" w:type="dxa"/>
            <w:shd w:val="clear" w:color="auto" w:fill="auto"/>
            <w:noWrap/>
            <w:vAlign w:val="center"/>
          </w:tcPr>
          <w:p w14:paraId="6813324A">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74</w:t>
            </w:r>
          </w:p>
        </w:tc>
        <w:tc>
          <w:tcPr>
            <w:tcW w:w="1009" w:type="dxa"/>
            <w:vMerge w:val="continue"/>
            <w:vAlign w:val="center"/>
          </w:tcPr>
          <w:p w14:paraId="74F93010">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shd w:val="clear" w:color="auto" w:fill="auto"/>
            <w:noWrap/>
            <w:vAlign w:val="center"/>
          </w:tcPr>
          <w:p w14:paraId="67C0C9C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2.4.2定位腕带</w:t>
            </w:r>
          </w:p>
        </w:tc>
        <w:tc>
          <w:tcPr>
            <w:tcW w:w="4866" w:type="dxa"/>
            <w:shd w:val="clear" w:color="000000" w:fill="FFFFFF"/>
            <w:vAlign w:val="center"/>
          </w:tcPr>
          <w:p w14:paraId="412DB28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工作频段:2.4GHz~2.5GHz</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低频频率:125k、13.56MHz（可选）</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2.4G识别距离:0-50米（可按需求定制）</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低频激活距离:0-3米</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发射时间:主动每秒1次/被动每秒钟发射3～4次</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静态（待机）工作电流:&lt;15uA（连续待机时长＜500天）</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工作电流（发射信号）:&lt;18mA(脉冲模式）</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电池使用寿命:4-5年（理论值）</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5个10/100Mbps RJ45 端口，其中1-4端口支持PoE功能</w:t>
            </w:r>
          </w:p>
        </w:tc>
        <w:tc>
          <w:tcPr>
            <w:tcW w:w="698" w:type="dxa"/>
            <w:shd w:val="clear" w:color="auto" w:fill="auto"/>
            <w:noWrap/>
            <w:vAlign w:val="center"/>
          </w:tcPr>
          <w:p w14:paraId="179C1C8A">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20</w:t>
            </w:r>
          </w:p>
        </w:tc>
        <w:tc>
          <w:tcPr>
            <w:tcW w:w="709" w:type="dxa"/>
            <w:shd w:val="clear" w:color="auto" w:fill="auto"/>
            <w:noWrap/>
            <w:vAlign w:val="center"/>
          </w:tcPr>
          <w:p w14:paraId="25D0ED1A">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43967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04" w:type="dxa"/>
            <w:shd w:val="clear" w:color="auto" w:fill="auto"/>
            <w:noWrap/>
            <w:vAlign w:val="center"/>
          </w:tcPr>
          <w:p w14:paraId="3BA3594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75</w:t>
            </w:r>
          </w:p>
        </w:tc>
        <w:tc>
          <w:tcPr>
            <w:tcW w:w="1009" w:type="dxa"/>
            <w:vMerge w:val="continue"/>
            <w:vAlign w:val="center"/>
          </w:tcPr>
          <w:p w14:paraId="0C3E6BEB">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shd w:val="clear" w:color="auto" w:fill="auto"/>
            <w:noWrap/>
            <w:vAlign w:val="center"/>
          </w:tcPr>
          <w:p w14:paraId="17086B0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2.4.3PoE供电交换机</w:t>
            </w:r>
          </w:p>
        </w:tc>
        <w:tc>
          <w:tcPr>
            <w:tcW w:w="4866" w:type="dxa"/>
            <w:shd w:val="clear" w:color="000000" w:fill="FFFFFF"/>
            <w:vAlign w:val="center"/>
          </w:tcPr>
          <w:p w14:paraId="4B44095A">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5个10/100Mbps RJ45 端口，其中1-4端口支持PoE功能</w:t>
            </w:r>
          </w:p>
        </w:tc>
        <w:tc>
          <w:tcPr>
            <w:tcW w:w="698" w:type="dxa"/>
            <w:shd w:val="clear" w:color="auto" w:fill="auto"/>
            <w:noWrap/>
            <w:vAlign w:val="center"/>
          </w:tcPr>
          <w:p w14:paraId="16795FF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w:t>
            </w:r>
          </w:p>
        </w:tc>
        <w:tc>
          <w:tcPr>
            <w:tcW w:w="709" w:type="dxa"/>
            <w:shd w:val="clear" w:color="auto" w:fill="auto"/>
            <w:noWrap/>
            <w:vAlign w:val="center"/>
          </w:tcPr>
          <w:p w14:paraId="54DE6D9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006A2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4" w:type="dxa"/>
            <w:shd w:val="clear" w:color="auto" w:fill="auto"/>
            <w:noWrap/>
            <w:vAlign w:val="center"/>
          </w:tcPr>
          <w:p w14:paraId="18DEADD1">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76</w:t>
            </w:r>
          </w:p>
        </w:tc>
        <w:tc>
          <w:tcPr>
            <w:tcW w:w="1009" w:type="dxa"/>
            <w:vMerge w:val="continue"/>
            <w:vAlign w:val="center"/>
          </w:tcPr>
          <w:p w14:paraId="5608FB40">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087" w:type="dxa"/>
            <w:shd w:val="clear" w:color="auto" w:fill="auto"/>
            <w:noWrap/>
            <w:vAlign w:val="center"/>
          </w:tcPr>
          <w:p w14:paraId="64B081A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2.4.4IC卡读卡器</w:t>
            </w:r>
          </w:p>
        </w:tc>
        <w:tc>
          <w:tcPr>
            <w:tcW w:w="4866" w:type="dxa"/>
            <w:shd w:val="clear" w:color="000000" w:fill="FFFFFF"/>
            <w:vAlign w:val="center"/>
          </w:tcPr>
          <w:p w14:paraId="24025DFD">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支持频率：13.56MHz、12KHz</w:t>
            </w:r>
            <w:r>
              <w:rPr>
                <w:rFonts w:hint="eastAsia" w:ascii="宋体" w:hAnsi="宋体" w:eastAsia="宋体" w:cs="宋体"/>
                <w:color w:val="auto"/>
                <w:kern w:val="0"/>
                <w:sz w:val="24"/>
                <w:szCs w:val="24"/>
                <w14:ligatures w14:val="none"/>
              </w:rPr>
              <w:br w:type="textWrapping"/>
            </w:r>
            <w:r>
              <w:rPr>
                <w:rFonts w:hint="eastAsia" w:ascii="宋体" w:hAnsi="宋体" w:eastAsia="宋体" w:cs="宋体"/>
                <w:color w:val="auto"/>
                <w:kern w:val="0"/>
                <w:sz w:val="24"/>
                <w:szCs w:val="24"/>
                <w14:ligatures w14:val="none"/>
              </w:rPr>
              <w:t>通讯接口：USB接口</w:t>
            </w:r>
          </w:p>
        </w:tc>
        <w:tc>
          <w:tcPr>
            <w:tcW w:w="698" w:type="dxa"/>
            <w:shd w:val="clear" w:color="auto" w:fill="auto"/>
            <w:noWrap/>
            <w:vAlign w:val="center"/>
          </w:tcPr>
          <w:p w14:paraId="6B80707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w:t>
            </w:r>
          </w:p>
        </w:tc>
        <w:tc>
          <w:tcPr>
            <w:tcW w:w="709" w:type="dxa"/>
            <w:shd w:val="clear" w:color="auto" w:fill="auto"/>
            <w:noWrap/>
            <w:vAlign w:val="center"/>
          </w:tcPr>
          <w:p w14:paraId="719B840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27CD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04" w:type="dxa"/>
            <w:shd w:val="clear" w:color="auto" w:fill="auto"/>
            <w:noWrap/>
            <w:vAlign w:val="center"/>
          </w:tcPr>
          <w:p w14:paraId="7FD3D9D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77</w:t>
            </w:r>
          </w:p>
        </w:tc>
        <w:tc>
          <w:tcPr>
            <w:tcW w:w="1009" w:type="dxa"/>
            <w:shd w:val="clear" w:color="auto" w:fill="auto"/>
            <w:noWrap/>
            <w:vAlign w:val="center"/>
          </w:tcPr>
          <w:p w14:paraId="3DADA2F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2.5时钟同步</w:t>
            </w:r>
          </w:p>
        </w:tc>
        <w:tc>
          <w:tcPr>
            <w:tcW w:w="1087" w:type="dxa"/>
            <w:shd w:val="clear" w:color="auto" w:fill="auto"/>
            <w:noWrap/>
            <w:vAlign w:val="center"/>
          </w:tcPr>
          <w:p w14:paraId="12D758BE">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2.5.1时钟同步</w:t>
            </w:r>
          </w:p>
        </w:tc>
        <w:tc>
          <w:tcPr>
            <w:tcW w:w="4866" w:type="dxa"/>
            <w:shd w:val="clear" w:color="000000" w:fill="FFFFFF"/>
            <w:vAlign w:val="center"/>
          </w:tcPr>
          <w:p w14:paraId="58E5640F">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实现全院时钟统一，自动同步至国家北斗系统时钟校准。</w:t>
            </w:r>
          </w:p>
        </w:tc>
        <w:tc>
          <w:tcPr>
            <w:tcW w:w="698" w:type="dxa"/>
            <w:shd w:val="clear" w:color="auto" w:fill="auto"/>
            <w:noWrap/>
            <w:vAlign w:val="center"/>
          </w:tcPr>
          <w:p w14:paraId="2CA3929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1165B3A5">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bl>
    <w:p w14:paraId="4C89FB82">
      <w:pPr>
        <w:pStyle w:val="2"/>
        <w:keepNext/>
        <w:keepLines/>
        <w:pageBreakBefore w:val="0"/>
        <w:widowControl w:val="0"/>
        <w:kinsoku/>
        <w:wordWrap/>
        <w:overflowPunct/>
        <w:topLinePunct w:val="0"/>
        <w:autoSpaceDE/>
        <w:autoSpaceDN/>
        <w:bidi w:val="0"/>
        <w:adjustRightInd/>
        <w:snapToGrid/>
        <w:spacing w:before="0" w:after="0" w:line="48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系统集成</w:t>
      </w:r>
      <w:r>
        <w:rPr>
          <w:rFonts w:hint="eastAsia" w:ascii="宋体" w:hAnsi="宋体" w:eastAsia="宋体" w:cs="宋体"/>
          <w:color w:val="auto"/>
          <w:sz w:val="24"/>
          <w:szCs w:val="24"/>
          <w:lang w:val="en-US" w:eastAsia="zh-CN"/>
        </w:rPr>
        <w:t>及相关服务</w:t>
      </w:r>
    </w:p>
    <w:tbl>
      <w:tblPr>
        <w:tblStyle w:val="26"/>
        <w:tblW w:w="9073"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134"/>
        <w:gridCol w:w="1984"/>
        <w:gridCol w:w="3828"/>
        <w:gridCol w:w="708"/>
        <w:gridCol w:w="709"/>
      </w:tblGrid>
      <w:tr w14:paraId="2904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10" w:type="dxa"/>
            <w:shd w:val="clear" w:color="auto" w:fill="auto"/>
            <w:noWrap/>
            <w:vAlign w:val="center"/>
          </w:tcPr>
          <w:p w14:paraId="58A18A4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序号</w:t>
            </w:r>
          </w:p>
        </w:tc>
        <w:tc>
          <w:tcPr>
            <w:tcW w:w="6946" w:type="dxa"/>
            <w:gridSpan w:val="3"/>
            <w:shd w:val="clear" w:color="auto" w:fill="auto"/>
            <w:noWrap/>
            <w:vAlign w:val="center"/>
          </w:tcPr>
          <w:p w14:paraId="43BC3F71">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　详细参数</w:t>
            </w:r>
          </w:p>
        </w:tc>
        <w:tc>
          <w:tcPr>
            <w:tcW w:w="708" w:type="dxa"/>
            <w:shd w:val="clear" w:color="auto" w:fill="auto"/>
            <w:noWrap/>
            <w:vAlign w:val="center"/>
          </w:tcPr>
          <w:p w14:paraId="5F9D416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数量</w:t>
            </w:r>
          </w:p>
        </w:tc>
        <w:tc>
          <w:tcPr>
            <w:tcW w:w="709" w:type="dxa"/>
            <w:shd w:val="clear" w:color="auto" w:fill="auto"/>
            <w:noWrap/>
            <w:vAlign w:val="center"/>
          </w:tcPr>
          <w:p w14:paraId="3B3D4AB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单位</w:t>
            </w:r>
          </w:p>
        </w:tc>
      </w:tr>
      <w:tr w14:paraId="750C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10" w:type="dxa"/>
            <w:shd w:val="clear" w:color="auto" w:fill="auto"/>
            <w:noWrap/>
            <w:vAlign w:val="center"/>
          </w:tcPr>
          <w:p w14:paraId="16BC77D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1134" w:type="dxa"/>
            <w:vMerge w:val="restart"/>
            <w:shd w:val="clear" w:color="auto" w:fill="auto"/>
            <w:vAlign w:val="center"/>
          </w:tcPr>
          <w:p w14:paraId="61A7C907">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3.1接口服务</w:t>
            </w:r>
          </w:p>
        </w:tc>
        <w:tc>
          <w:tcPr>
            <w:tcW w:w="1984" w:type="dxa"/>
            <w:vMerge w:val="restart"/>
            <w:shd w:val="clear" w:color="auto" w:fill="auto"/>
            <w:noWrap/>
            <w:vAlign w:val="center"/>
          </w:tcPr>
          <w:p w14:paraId="31FB51A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3.1.1 院前急救“上传即入院”系统接口</w:t>
            </w:r>
          </w:p>
        </w:tc>
        <w:tc>
          <w:tcPr>
            <w:tcW w:w="3828" w:type="dxa"/>
            <w:shd w:val="clear" w:color="000000" w:fill="FFFFFF"/>
            <w:vAlign w:val="center"/>
          </w:tcPr>
          <w:p w14:paraId="7CFEF61A">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1.实现与院前急救“上</w:t>
            </w:r>
            <w:r>
              <w:rPr>
                <w:rFonts w:hint="eastAsia" w:ascii="宋体" w:hAnsi="宋体" w:eastAsia="宋体" w:cs="宋体"/>
                <w:color w:val="auto"/>
                <w:kern w:val="0"/>
                <w:sz w:val="24"/>
                <w:szCs w:val="24"/>
                <w:lang w:val="en-US" w:eastAsia="zh-CN"/>
                <w14:ligatures w14:val="none"/>
              </w:rPr>
              <w:t>车</w:t>
            </w:r>
            <w:r>
              <w:rPr>
                <w:rFonts w:hint="eastAsia" w:ascii="宋体" w:hAnsi="宋体" w:eastAsia="宋体" w:cs="宋体"/>
                <w:color w:val="auto"/>
                <w:kern w:val="0"/>
                <w:sz w:val="24"/>
                <w:szCs w:val="24"/>
                <w14:ligatures w14:val="none"/>
              </w:rPr>
              <w:t>即入院”系统进行接口对接，实现院前数据传输到院内；</w:t>
            </w:r>
          </w:p>
        </w:tc>
        <w:tc>
          <w:tcPr>
            <w:tcW w:w="708" w:type="dxa"/>
            <w:shd w:val="clear" w:color="auto" w:fill="auto"/>
            <w:noWrap/>
            <w:vAlign w:val="center"/>
          </w:tcPr>
          <w:p w14:paraId="1EEF5B74">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3F76B54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2124E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10" w:type="dxa"/>
            <w:shd w:val="clear" w:color="auto" w:fill="auto"/>
            <w:noWrap/>
            <w:vAlign w:val="center"/>
          </w:tcPr>
          <w:p w14:paraId="7619C20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w:t>
            </w:r>
          </w:p>
        </w:tc>
        <w:tc>
          <w:tcPr>
            <w:tcW w:w="1134" w:type="dxa"/>
            <w:vMerge w:val="continue"/>
            <w:vAlign w:val="center"/>
          </w:tcPr>
          <w:p w14:paraId="1F435AAB">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984" w:type="dxa"/>
            <w:vMerge w:val="continue"/>
            <w:vAlign w:val="center"/>
          </w:tcPr>
          <w:p w14:paraId="28A3B6C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3828" w:type="dxa"/>
            <w:shd w:val="clear" w:color="000000" w:fill="FFFFFF"/>
            <w:vAlign w:val="center"/>
          </w:tcPr>
          <w:p w14:paraId="3A8259E9">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2.实现获取院前急救“上</w:t>
            </w:r>
            <w:r>
              <w:rPr>
                <w:rFonts w:hint="eastAsia" w:ascii="宋体" w:hAnsi="宋体" w:eastAsia="宋体" w:cs="宋体"/>
                <w:color w:val="auto"/>
                <w:kern w:val="0"/>
                <w:sz w:val="24"/>
                <w:szCs w:val="24"/>
                <w:lang w:val="en-US" w:eastAsia="zh-CN"/>
                <w14:ligatures w14:val="none"/>
              </w:rPr>
              <w:t>车</w:t>
            </w:r>
            <w:r>
              <w:rPr>
                <w:rFonts w:hint="eastAsia" w:ascii="宋体" w:hAnsi="宋体" w:eastAsia="宋体" w:cs="宋体"/>
                <w:color w:val="auto"/>
                <w:kern w:val="0"/>
                <w:sz w:val="24"/>
                <w:szCs w:val="24"/>
                <w14:ligatures w14:val="none"/>
              </w:rPr>
              <w:t>即入院”系统相关救治时间点，满足三大中心数据上报要求；</w:t>
            </w:r>
          </w:p>
        </w:tc>
        <w:tc>
          <w:tcPr>
            <w:tcW w:w="708" w:type="dxa"/>
            <w:shd w:val="clear" w:color="auto" w:fill="auto"/>
            <w:noWrap/>
            <w:vAlign w:val="center"/>
          </w:tcPr>
          <w:p w14:paraId="564C4411">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8AFEC0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4DAB5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10" w:type="dxa"/>
            <w:shd w:val="clear" w:color="auto" w:fill="auto"/>
            <w:noWrap/>
            <w:vAlign w:val="center"/>
          </w:tcPr>
          <w:p w14:paraId="700FF25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3</w:t>
            </w:r>
          </w:p>
        </w:tc>
        <w:tc>
          <w:tcPr>
            <w:tcW w:w="1134" w:type="dxa"/>
            <w:vMerge w:val="continue"/>
            <w:vAlign w:val="center"/>
          </w:tcPr>
          <w:p w14:paraId="4CC99913">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984" w:type="dxa"/>
            <w:shd w:val="clear" w:color="auto" w:fill="auto"/>
            <w:noWrap/>
            <w:vAlign w:val="center"/>
          </w:tcPr>
          <w:p w14:paraId="798536A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3.1.2院内软件接口</w:t>
            </w:r>
          </w:p>
        </w:tc>
        <w:tc>
          <w:tcPr>
            <w:tcW w:w="3828" w:type="dxa"/>
            <w:shd w:val="clear" w:color="000000" w:fill="FFFFFF"/>
            <w:vAlign w:val="center"/>
          </w:tcPr>
          <w:p w14:paraId="7EEC59E7">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lang w:val="en-US" w:eastAsia="zh-CN"/>
                <w14:ligatures w14:val="none"/>
              </w:rPr>
              <w:t>维护期内</w:t>
            </w:r>
            <w:r>
              <w:rPr>
                <w:rFonts w:hint="eastAsia" w:ascii="宋体" w:hAnsi="宋体" w:eastAsia="宋体" w:cs="宋体"/>
                <w:color w:val="auto"/>
                <w:kern w:val="0"/>
                <w:sz w:val="24"/>
                <w:szCs w:val="24"/>
                <w14:ligatures w14:val="none"/>
              </w:rPr>
              <w:t>实现与</w:t>
            </w:r>
            <w:r>
              <w:rPr>
                <w:rFonts w:hint="eastAsia" w:ascii="宋体" w:hAnsi="宋体" w:eastAsia="宋体" w:cs="宋体"/>
                <w:color w:val="auto"/>
                <w:kern w:val="0"/>
                <w:sz w:val="24"/>
                <w:szCs w:val="24"/>
                <w:lang w:val="en-US" w:eastAsia="zh-CN"/>
                <w14:ligatures w14:val="none"/>
              </w:rPr>
              <w:t>院内系统（包括但不限于</w:t>
            </w:r>
            <w:r>
              <w:rPr>
                <w:rFonts w:hint="eastAsia" w:ascii="宋体" w:hAnsi="宋体" w:eastAsia="宋体" w:cs="宋体"/>
                <w:color w:val="auto"/>
                <w:kern w:val="0"/>
                <w:sz w:val="24"/>
                <w:szCs w:val="24"/>
                <w14:ligatures w14:val="none"/>
              </w:rPr>
              <w:t>HIS系统、院内医生站</w:t>
            </w:r>
            <w:r>
              <w:rPr>
                <w:rFonts w:hint="eastAsia" w:ascii="宋体" w:hAnsi="宋体" w:eastAsia="宋体" w:cs="宋体"/>
                <w:color w:val="auto"/>
                <w:kern w:val="0"/>
                <w:sz w:val="24"/>
                <w:szCs w:val="24"/>
                <w:lang w:eastAsia="zh-CN"/>
                <w14:ligatures w14:val="none"/>
              </w:rPr>
              <w:t>、</w:t>
            </w:r>
            <w:r>
              <w:rPr>
                <w:rFonts w:hint="eastAsia" w:ascii="宋体" w:hAnsi="宋体" w:eastAsia="宋体" w:cs="宋体"/>
                <w:color w:val="auto"/>
                <w:kern w:val="0"/>
                <w:sz w:val="24"/>
                <w:szCs w:val="24"/>
                <w14:ligatures w14:val="none"/>
              </w:rPr>
              <w:t>检查检验系统、心电系统、住院系统</w:t>
            </w:r>
            <w:r>
              <w:rPr>
                <w:rFonts w:hint="eastAsia" w:ascii="宋体" w:hAnsi="宋体" w:eastAsia="宋体" w:cs="宋体"/>
                <w:color w:val="auto"/>
                <w:kern w:val="0"/>
                <w:sz w:val="24"/>
                <w:szCs w:val="24"/>
                <w:lang w:val="en-US" w:eastAsia="zh-CN"/>
                <w14:ligatures w14:val="none"/>
              </w:rPr>
              <w:t>等</w:t>
            </w:r>
            <w:r>
              <w:rPr>
                <w:rFonts w:hint="eastAsia" w:ascii="宋体" w:hAnsi="宋体" w:eastAsia="宋体" w:cs="宋体"/>
                <w:color w:val="auto"/>
                <w:kern w:val="0"/>
                <w:sz w:val="24"/>
                <w:szCs w:val="24"/>
                <w:lang w:eastAsia="zh-CN"/>
                <w14:ligatures w14:val="none"/>
              </w:rPr>
              <w:t>）</w:t>
            </w:r>
            <w:r>
              <w:rPr>
                <w:rFonts w:hint="eastAsia" w:ascii="宋体" w:hAnsi="宋体" w:eastAsia="宋体" w:cs="宋体"/>
                <w:color w:val="auto"/>
                <w:kern w:val="0"/>
                <w:sz w:val="24"/>
                <w:szCs w:val="24"/>
                <w14:ligatures w14:val="none"/>
              </w:rPr>
              <w:t>对接；</w:t>
            </w:r>
          </w:p>
        </w:tc>
        <w:tc>
          <w:tcPr>
            <w:tcW w:w="708" w:type="dxa"/>
            <w:shd w:val="clear" w:color="auto" w:fill="auto"/>
            <w:noWrap/>
            <w:vAlign w:val="center"/>
          </w:tcPr>
          <w:p w14:paraId="1B04233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77C1B1E9">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32FCC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10" w:type="dxa"/>
            <w:shd w:val="clear" w:color="auto" w:fill="auto"/>
            <w:noWrap/>
            <w:vAlign w:val="center"/>
          </w:tcPr>
          <w:p w14:paraId="766A83B2">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5</w:t>
            </w:r>
          </w:p>
        </w:tc>
        <w:tc>
          <w:tcPr>
            <w:tcW w:w="1134" w:type="dxa"/>
            <w:vMerge w:val="continue"/>
            <w:vAlign w:val="center"/>
          </w:tcPr>
          <w:p w14:paraId="483225D0">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984" w:type="dxa"/>
            <w:vMerge w:val="restart"/>
            <w:shd w:val="clear" w:color="auto" w:fill="auto"/>
            <w:noWrap/>
            <w:vAlign w:val="center"/>
          </w:tcPr>
          <w:p w14:paraId="69C4DB4E">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3.1.3院内硬件接口</w:t>
            </w:r>
          </w:p>
        </w:tc>
        <w:tc>
          <w:tcPr>
            <w:tcW w:w="3828" w:type="dxa"/>
            <w:shd w:val="clear" w:color="000000" w:fill="FFFFFF"/>
            <w:vAlign w:val="center"/>
          </w:tcPr>
          <w:p w14:paraId="21254682">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1.支持与心肌三项POCT设备连接（此项指仪器设备能提供开放对接接口的情况下）；</w:t>
            </w:r>
          </w:p>
        </w:tc>
        <w:tc>
          <w:tcPr>
            <w:tcW w:w="708" w:type="dxa"/>
            <w:shd w:val="clear" w:color="auto" w:fill="auto"/>
            <w:noWrap/>
            <w:vAlign w:val="center"/>
          </w:tcPr>
          <w:p w14:paraId="5D81D87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0ED94FD0">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2B954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10" w:type="dxa"/>
            <w:shd w:val="clear" w:color="auto" w:fill="auto"/>
            <w:noWrap/>
            <w:vAlign w:val="center"/>
          </w:tcPr>
          <w:p w14:paraId="066F113C">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6</w:t>
            </w:r>
          </w:p>
        </w:tc>
        <w:tc>
          <w:tcPr>
            <w:tcW w:w="1134" w:type="dxa"/>
            <w:vMerge w:val="continue"/>
            <w:vAlign w:val="center"/>
          </w:tcPr>
          <w:p w14:paraId="7BD23F26">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1984" w:type="dxa"/>
            <w:vMerge w:val="continue"/>
            <w:vAlign w:val="center"/>
          </w:tcPr>
          <w:p w14:paraId="22261E5C">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p>
        </w:tc>
        <w:tc>
          <w:tcPr>
            <w:tcW w:w="3828" w:type="dxa"/>
            <w:shd w:val="clear" w:color="000000" w:fill="FFFFFF"/>
            <w:vAlign w:val="center"/>
          </w:tcPr>
          <w:p w14:paraId="14BFB773">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2.实现心电图机设备连接此项指仪器设备能提供开放对接接口的情况下）；</w:t>
            </w:r>
          </w:p>
        </w:tc>
        <w:tc>
          <w:tcPr>
            <w:tcW w:w="708" w:type="dxa"/>
            <w:shd w:val="clear" w:color="auto" w:fill="auto"/>
            <w:noWrap/>
            <w:vAlign w:val="center"/>
          </w:tcPr>
          <w:p w14:paraId="4C585BC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3B3E8DC8">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r w14:paraId="1AA82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10" w:type="dxa"/>
            <w:shd w:val="clear" w:color="auto" w:fill="auto"/>
            <w:noWrap/>
            <w:vAlign w:val="center"/>
          </w:tcPr>
          <w:p w14:paraId="5BFBE1ED">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7</w:t>
            </w:r>
          </w:p>
        </w:tc>
        <w:tc>
          <w:tcPr>
            <w:tcW w:w="1134" w:type="dxa"/>
            <w:vAlign w:val="center"/>
          </w:tcPr>
          <w:p w14:paraId="1ECD7AB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3.2安装服务</w:t>
            </w:r>
          </w:p>
        </w:tc>
        <w:tc>
          <w:tcPr>
            <w:tcW w:w="1984" w:type="dxa"/>
            <w:shd w:val="clear" w:color="auto" w:fill="auto"/>
            <w:noWrap/>
            <w:vAlign w:val="center"/>
          </w:tcPr>
          <w:p w14:paraId="0D5D4613">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b/>
                <w:bCs/>
                <w:color w:val="auto"/>
                <w:kern w:val="0"/>
                <w:sz w:val="24"/>
                <w:szCs w:val="24"/>
                <w14:ligatures w14:val="none"/>
              </w:rPr>
            </w:pPr>
            <w:r>
              <w:rPr>
                <w:rFonts w:hint="eastAsia" w:ascii="宋体" w:hAnsi="宋体" w:eastAsia="宋体" w:cs="宋体"/>
                <w:b/>
                <w:bCs/>
                <w:color w:val="auto"/>
                <w:kern w:val="0"/>
                <w:sz w:val="24"/>
                <w:szCs w:val="24"/>
                <w14:ligatures w14:val="none"/>
              </w:rPr>
              <w:t>定位基站安装部署</w:t>
            </w:r>
          </w:p>
        </w:tc>
        <w:tc>
          <w:tcPr>
            <w:tcW w:w="3828" w:type="dxa"/>
            <w:shd w:val="clear" w:color="000000" w:fill="FFFFFF"/>
            <w:vAlign w:val="center"/>
          </w:tcPr>
          <w:p w14:paraId="3D3EF964">
            <w:pPr>
              <w:pageBreakBefore w:val="0"/>
              <w:widowControl/>
              <w:kinsoku/>
              <w:wordWrap/>
              <w:overflowPunct/>
              <w:topLinePunct w:val="0"/>
              <w:autoSpaceDE/>
              <w:autoSpaceDN/>
              <w:bidi w:val="0"/>
              <w:spacing w:line="480" w:lineRule="exact"/>
              <w:ind w:firstLine="0" w:firstLineChars="0"/>
              <w:jc w:val="left"/>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提供定位基站的安装服务</w:t>
            </w:r>
          </w:p>
        </w:tc>
        <w:tc>
          <w:tcPr>
            <w:tcW w:w="708" w:type="dxa"/>
            <w:shd w:val="clear" w:color="auto" w:fill="auto"/>
            <w:noWrap/>
            <w:vAlign w:val="center"/>
          </w:tcPr>
          <w:p w14:paraId="4ABCE3EF">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1</w:t>
            </w:r>
          </w:p>
        </w:tc>
        <w:tc>
          <w:tcPr>
            <w:tcW w:w="709" w:type="dxa"/>
            <w:shd w:val="clear" w:color="auto" w:fill="auto"/>
            <w:noWrap/>
            <w:vAlign w:val="center"/>
          </w:tcPr>
          <w:p w14:paraId="45AC8A46">
            <w:pPr>
              <w:pageBreakBefore w:val="0"/>
              <w:widowControl/>
              <w:kinsoku/>
              <w:wordWrap/>
              <w:overflowPunct/>
              <w:topLinePunct w:val="0"/>
              <w:autoSpaceDE/>
              <w:autoSpaceDN/>
              <w:bidi w:val="0"/>
              <w:spacing w:line="480" w:lineRule="exact"/>
              <w:ind w:firstLine="0" w:firstLineChars="0"/>
              <w:jc w:val="center"/>
              <w:textAlignment w:val="auto"/>
              <w:rPr>
                <w:rFonts w:hint="eastAsia" w:ascii="宋体" w:hAnsi="宋体" w:eastAsia="宋体" w:cs="宋体"/>
                <w:color w:val="auto"/>
                <w:kern w:val="0"/>
                <w:sz w:val="24"/>
                <w:szCs w:val="24"/>
                <w14:ligatures w14:val="none"/>
              </w:rPr>
            </w:pPr>
            <w:r>
              <w:rPr>
                <w:rFonts w:hint="eastAsia" w:ascii="宋体" w:hAnsi="宋体" w:eastAsia="宋体" w:cs="宋体"/>
                <w:color w:val="auto"/>
                <w:kern w:val="0"/>
                <w:sz w:val="24"/>
                <w:szCs w:val="24"/>
                <w14:ligatures w14:val="none"/>
              </w:rPr>
              <w:t>套</w:t>
            </w:r>
          </w:p>
        </w:tc>
      </w:tr>
    </w:tbl>
    <w:p w14:paraId="4A3A8DEF">
      <w:pPr>
        <w:keepNext w:val="0"/>
        <w:keepLines w:val="0"/>
        <w:pageBreakBefore w:val="0"/>
        <w:widowControl/>
        <w:numPr>
          <w:ilvl w:val="0"/>
          <w:numId w:val="0"/>
        </w:numPr>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kern w:val="0"/>
          <w:sz w:val="24"/>
          <w:szCs w:val="24"/>
          <w:lang w:val="en-US" w:eastAsia="zh-CN"/>
          <w14:ligatures w14:val="none"/>
        </w:rPr>
      </w:pPr>
      <w:r>
        <w:rPr>
          <w:rFonts w:hint="eastAsia" w:ascii="宋体" w:hAnsi="宋体" w:eastAsia="宋体" w:cs="宋体"/>
          <w:color w:val="auto"/>
          <w:kern w:val="0"/>
          <w:sz w:val="24"/>
          <w:szCs w:val="24"/>
          <w:lang w:val="en-US" w:eastAsia="zh-CN"/>
          <w14:ligatures w14:val="none"/>
        </w:rPr>
        <w:t>五、重点要求：</w:t>
      </w:r>
    </w:p>
    <w:p w14:paraId="7050CB09">
      <w:pPr>
        <w:keepNext w:val="0"/>
        <w:keepLines w:val="0"/>
        <w:pageBreakBefore w:val="0"/>
        <w:widowControl/>
        <w:numPr>
          <w:ilvl w:val="0"/>
          <w:numId w:val="0"/>
        </w:numPr>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kern w:val="0"/>
          <w:sz w:val="24"/>
          <w:szCs w:val="24"/>
          <w:lang w:val="en-US" w:eastAsia="zh-CN"/>
          <w14:ligatures w14:val="none"/>
        </w:rPr>
      </w:pPr>
      <w:r>
        <w:rPr>
          <w:rFonts w:hint="eastAsia" w:ascii="宋体" w:hAnsi="宋体" w:eastAsia="宋体" w:cs="宋体"/>
          <w:color w:val="auto"/>
          <w:kern w:val="0"/>
          <w:sz w:val="24"/>
          <w:szCs w:val="24"/>
          <w:lang w:val="en-US" w:eastAsia="zh-CN"/>
          <w14:ligatures w14:val="none"/>
        </w:rPr>
        <w:t>★（1）供应商在投标前应进行充分的现场调研，报价包含各软件接口费及系统集成服务费用。</w:t>
      </w:r>
    </w:p>
    <w:p w14:paraId="4322E849">
      <w:pPr>
        <w:keepNext w:val="0"/>
        <w:keepLines w:val="0"/>
        <w:pageBreakBefore w:val="0"/>
        <w:widowControl/>
        <w:kinsoku/>
        <w:wordWrap/>
        <w:overflowPunct/>
        <w:topLinePunct w:val="0"/>
        <w:autoSpaceDE/>
        <w:autoSpaceDN/>
        <w:bidi w:val="0"/>
        <w:adjustRightInd/>
        <w:snapToGrid/>
        <w:spacing w:line="500" w:lineRule="exact"/>
        <w:ind w:firstLine="0" w:firstLineChars="0"/>
        <w:jc w:val="left"/>
        <w:textAlignment w:val="auto"/>
        <w:rPr>
          <w:rFonts w:hint="eastAsia" w:ascii="宋体" w:hAnsi="宋体" w:eastAsia="宋体" w:cs="宋体"/>
          <w:color w:val="auto"/>
          <w:kern w:val="0"/>
          <w:sz w:val="24"/>
          <w:szCs w:val="24"/>
          <w:lang w:val="en-US" w:eastAsia="zh-CN"/>
          <w14:ligatures w14:val="none"/>
        </w:rPr>
      </w:pPr>
      <w:r>
        <w:rPr>
          <w:rFonts w:hint="eastAsia" w:ascii="宋体" w:hAnsi="宋体" w:eastAsia="宋体" w:cs="宋体"/>
          <w:color w:val="auto"/>
          <w:kern w:val="0"/>
          <w:sz w:val="24"/>
          <w:szCs w:val="24"/>
          <w:lang w:val="en-US" w:eastAsia="zh-CN"/>
          <w14:ligatures w14:val="none"/>
        </w:rPr>
        <w:t>★（2）针对软件系统功能如有小范围新增或变更，允许在系统实施过程中按照采购人要求进行现场开发或功能增加，但不额外增加任何费用。</w:t>
      </w:r>
    </w:p>
    <w:p w14:paraId="4DEDD161">
      <w:pPr>
        <w:keepNext w:val="0"/>
        <w:keepLines w:val="0"/>
        <w:pageBreakBefore w:val="0"/>
        <w:widowControl/>
        <w:kinsoku/>
        <w:wordWrap/>
        <w:overflowPunct/>
        <w:topLinePunct w:val="0"/>
        <w:autoSpaceDE/>
        <w:autoSpaceDN/>
        <w:bidi w:val="0"/>
        <w:adjustRightInd/>
        <w:snapToGrid/>
        <w:spacing w:line="500" w:lineRule="exact"/>
        <w:ind w:firstLine="0" w:firstLineChars="0"/>
        <w:jc w:val="left"/>
        <w:textAlignment w:val="auto"/>
        <w:rPr>
          <w:rFonts w:hint="eastAsia" w:ascii="宋体" w:hAnsi="宋体" w:eastAsia="宋体" w:cs="宋体"/>
          <w:color w:val="auto"/>
          <w:kern w:val="0"/>
          <w:sz w:val="24"/>
          <w:szCs w:val="24"/>
          <w:lang w:val="en-US" w:eastAsia="zh-CN"/>
          <w14:ligatures w14:val="none"/>
        </w:rPr>
      </w:pPr>
      <w:r>
        <w:rPr>
          <w:rFonts w:hint="eastAsia" w:ascii="宋体" w:hAnsi="宋体" w:eastAsia="宋体" w:cs="宋体"/>
          <w:color w:val="auto"/>
          <w:kern w:val="0"/>
          <w:sz w:val="24"/>
          <w:szCs w:val="24"/>
          <w:lang w:val="en-US" w:eastAsia="zh-CN"/>
          <w14:ligatures w14:val="none"/>
        </w:rPr>
        <w:t>★（3）必须提供备份和紧急情况下的应急服务（在系统上线过程中必须对服务器和业务数据进行备份，根据采购人要求进行备份频率和备份数据进行配置，同时提供备份还原演练服务。如果发生服务器宕机、数据库崩溃等意外情况时，需要将系统还原到原有状态并保证临床业务的正常开展，确保数据不丢失）。</w:t>
      </w:r>
    </w:p>
    <w:p w14:paraId="5E731CE4">
      <w:pPr>
        <w:keepNext w:val="0"/>
        <w:keepLines w:val="0"/>
        <w:pageBreakBefore w:val="0"/>
        <w:widowControl/>
        <w:kinsoku/>
        <w:wordWrap/>
        <w:overflowPunct/>
        <w:topLinePunct w:val="0"/>
        <w:autoSpaceDE/>
        <w:autoSpaceDN/>
        <w:bidi w:val="0"/>
        <w:adjustRightInd/>
        <w:snapToGrid/>
        <w:spacing w:line="500" w:lineRule="exact"/>
        <w:ind w:firstLine="0" w:firstLineChars="0"/>
        <w:jc w:val="left"/>
        <w:textAlignment w:val="auto"/>
        <w:rPr>
          <w:rFonts w:hint="eastAsia" w:ascii="宋体" w:hAnsi="宋体" w:eastAsia="宋体" w:cs="宋体"/>
          <w:color w:val="auto"/>
          <w:kern w:val="0"/>
          <w:sz w:val="24"/>
          <w:szCs w:val="24"/>
          <w:lang w:val="en-US" w:eastAsia="zh-CN"/>
          <w14:ligatures w14:val="none"/>
        </w:rPr>
      </w:pPr>
      <w:r>
        <w:rPr>
          <w:rFonts w:hint="eastAsia" w:ascii="宋体" w:hAnsi="宋体" w:eastAsia="宋体" w:cs="宋体"/>
          <w:color w:val="auto"/>
          <w:kern w:val="0"/>
          <w:sz w:val="24"/>
          <w:szCs w:val="24"/>
          <w:lang w:val="en-US" w:eastAsia="zh-CN"/>
          <w14:ligatures w14:val="none"/>
        </w:rPr>
        <w:t>★（4）软件系统必须满足网络安全等保要求。系统上线后，允许采购人邀请第三方网络安全测评单位针对软件系统进行网络安全检测，供应商承诺根据检测情况进行相应的免费整改服务。为满足网络安全需要，软件厂商须提供本地化院内服务器部署模式，产生的业务数据存储于医院内部，不接受互联网软件应用的部署方式。</w:t>
      </w:r>
    </w:p>
    <w:p w14:paraId="14EB601E">
      <w:pPr>
        <w:keepNext w:val="0"/>
        <w:keepLines w:val="0"/>
        <w:pageBreakBefore w:val="0"/>
        <w:widowControl/>
        <w:kinsoku/>
        <w:wordWrap/>
        <w:overflowPunct/>
        <w:topLinePunct w:val="0"/>
        <w:autoSpaceDE/>
        <w:autoSpaceDN/>
        <w:bidi w:val="0"/>
        <w:adjustRightInd/>
        <w:snapToGrid/>
        <w:spacing w:line="500" w:lineRule="exact"/>
        <w:ind w:firstLine="0" w:firstLineChars="0"/>
        <w:jc w:val="left"/>
        <w:textAlignment w:val="auto"/>
        <w:rPr>
          <w:rFonts w:hint="eastAsia" w:ascii="宋体" w:hAnsi="宋体" w:eastAsia="宋体" w:cs="宋体"/>
          <w:color w:val="auto"/>
          <w:kern w:val="0"/>
          <w:sz w:val="24"/>
          <w:szCs w:val="24"/>
          <w:lang w:val="en-US" w:eastAsia="zh-CN"/>
          <w14:ligatures w14:val="none"/>
        </w:rPr>
      </w:pPr>
      <w:r>
        <w:rPr>
          <w:rFonts w:hint="eastAsia" w:ascii="宋体" w:hAnsi="宋体" w:eastAsia="宋体" w:cs="宋体"/>
          <w:color w:val="auto"/>
          <w:kern w:val="0"/>
          <w:sz w:val="24"/>
          <w:szCs w:val="24"/>
          <w:lang w:val="en-US" w:eastAsia="zh-CN"/>
          <w14:ligatures w14:val="none"/>
        </w:rPr>
        <w:t>★（5）本次项目上线系统需符合《全国医院信息化建设标准与规范》；《医院信息互联互通标准化成熟度测评》；《电子病历系统功能应用水平分级评价方法及标准》；《医院智慧服务分级评估标准体系（试行）》等信息化建设标准规范要求。以上标准或要求（包含但不仅限于）均适用于本文件。如有出入，需在质保期内修改并满足标准与规范要求。</w:t>
      </w:r>
    </w:p>
    <w:p w14:paraId="73A6DD1C">
      <w:pPr>
        <w:keepNext w:val="0"/>
        <w:keepLines w:val="0"/>
        <w:pageBreakBefore w:val="0"/>
        <w:widowControl/>
        <w:kinsoku/>
        <w:wordWrap/>
        <w:overflowPunct/>
        <w:topLinePunct w:val="0"/>
        <w:autoSpaceDE/>
        <w:autoSpaceDN/>
        <w:bidi w:val="0"/>
        <w:adjustRightInd/>
        <w:snapToGrid/>
        <w:spacing w:line="500" w:lineRule="exact"/>
        <w:ind w:firstLine="0" w:firstLineChars="0"/>
        <w:jc w:val="left"/>
        <w:textAlignment w:val="auto"/>
        <w:rPr>
          <w:rFonts w:hint="eastAsia" w:ascii="宋体" w:hAnsi="宋体" w:eastAsia="宋体" w:cs="宋体"/>
          <w:color w:val="auto"/>
          <w:kern w:val="0"/>
          <w:sz w:val="24"/>
          <w:szCs w:val="24"/>
          <w:lang w:val="en-US" w:eastAsia="zh-CN"/>
          <w14:ligatures w14:val="none"/>
        </w:rPr>
      </w:pPr>
      <w:r>
        <w:rPr>
          <w:rFonts w:hint="eastAsia" w:ascii="宋体" w:hAnsi="宋体" w:eastAsia="宋体" w:cs="宋体"/>
          <w:color w:val="auto"/>
          <w:kern w:val="0"/>
          <w:sz w:val="24"/>
          <w:szCs w:val="24"/>
          <w:lang w:val="en-US" w:eastAsia="zh-CN"/>
          <w14:ligatures w14:val="none"/>
        </w:rPr>
        <w:t>★（6）供应商所投产品支持信创改造要求，包括但不限于使用信创数据库、中间件，兼容信创服务器等要求。</w:t>
      </w:r>
    </w:p>
    <w:p w14:paraId="5A382BAA">
      <w:pPr>
        <w:keepNext w:val="0"/>
        <w:keepLines w:val="0"/>
        <w:pageBreakBefore w:val="0"/>
        <w:widowControl/>
        <w:kinsoku/>
        <w:wordWrap/>
        <w:overflowPunct/>
        <w:topLinePunct w:val="0"/>
        <w:autoSpaceDE/>
        <w:autoSpaceDN/>
        <w:bidi w:val="0"/>
        <w:adjustRightInd/>
        <w:snapToGrid/>
        <w:spacing w:line="500" w:lineRule="exact"/>
        <w:ind w:firstLine="0" w:firstLineChars="0"/>
        <w:jc w:val="left"/>
        <w:textAlignment w:val="auto"/>
        <w:rPr>
          <w:rFonts w:hint="eastAsia" w:ascii="宋体" w:hAnsi="宋体" w:eastAsia="宋体" w:cs="宋体"/>
          <w:color w:val="auto"/>
          <w:kern w:val="0"/>
          <w:sz w:val="24"/>
          <w:szCs w:val="24"/>
          <w:lang w:val="en-US" w:eastAsia="zh-CN"/>
          <w14:ligatures w14:val="none"/>
        </w:rPr>
      </w:pPr>
      <w:r>
        <w:rPr>
          <w:rFonts w:hint="eastAsia" w:ascii="宋体" w:hAnsi="宋体" w:eastAsia="宋体" w:cs="宋体"/>
          <w:color w:val="auto"/>
          <w:kern w:val="0"/>
          <w:sz w:val="24"/>
          <w:szCs w:val="24"/>
          <w:lang w:val="en-US" w:eastAsia="zh-CN"/>
          <w14:ligatures w14:val="none"/>
        </w:rPr>
        <w:t>★（7）供应商免费配合对接胸痛和卒中的国家或省级平台。</w:t>
      </w:r>
    </w:p>
    <w:p w14:paraId="4B8135D5">
      <w:pPr>
        <w:keepNext w:val="0"/>
        <w:keepLines w:val="0"/>
        <w:pageBreakBefore w:val="0"/>
        <w:widowControl/>
        <w:kinsoku/>
        <w:wordWrap/>
        <w:overflowPunct/>
        <w:topLinePunct w:val="0"/>
        <w:autoSpaceDE/>
        <w:autoSpaceDN/>
        <w:bidi w:val="0"/>
        <w:adjustRightInd/>
        <w:snapToGrid/>
        <w:spacing w:line="500" w:lineRule="exact"/>
        <w:ind w:firstLine="0" w:firstLineChars="0"/>
        <w:jc w:val="left"/>
        <w:textAlignment w:val="auto"/>
        <w:rPr>
          <w:rFonts w:hint="eastAsia" w:ascii="宋体" w:hAnsi="宋体" w:eastAsia="宋体" w:cs="宋体"/>
          <w:color w:val="auto"/>
          <w:kern w:val="0"/>
          <w:sz w:val="24"/>
          <w:szCs w:val="24"/>
          <w:lang w:val="en-US" w:eastAsia="zh-CN"/>
          <w14:ligatures w14:val="none"/>
        </w:rPr>
      </w:pPr>
      <w:r>
        <w:rPr>
          <w:rFonts w:hint="eastAsia" w:ascii="宋体" w:hAnsi="宋体" w:eastAsia="宋体" w:cs="宋体"/>
          <w:color w:val="auto"/>
          <w:kern w:val="0"/>
          <w:sz w:val="24"/>
          <w:szCs w:val="24"/>
          <w:lang w:val="en-US" w:eastAsia="zh-CN"/>
          <w14:ligatures w14:val="none"/>
        </w:rPr>
        <w:t>★（8）供应商配合采购人完成胸痛、卒中中心评审认证，供应商需在质保期内进行系统功能开发或修改并满足两大中心认证要求；</w:t>
      </w:r>
    </w:p>
    <w:p w14:paraId="52B2C660">
      <w:pPr>
        <w:keepNext w:val="0"/>
        <w:keepLines w:val="0"/>
        <w:pageBreakBefore w:val="0"/>
        <w:widowControl/>
        <w:kinsoku/>
        <w:wordWrap/>
        <w:overflowPunct/>
        <w:topLinePunct w:val="0"/>
        <w:autoSpaceDE/>
        <w:autoSpaceDN/>
        <w:bidi w:val="0"/>
        <w:adjustRightInd/>
        <w:snapToGrid/>
        <w:spacing w:line="500" w:lineRule="exact"/>
        <w:ind w:firstLine="0" w:firstLineChars="0"/>
        <w:jc w:val="left"/>
        <w:textAlignment w:val="auto"/>
        <w:rPr>
          <w:rFonts w:hint="eastAsia" w:ascii="宋体" w:hAnsi="宋体" w:eastAsia="宋体" w:cs="宋体"/>
          <w:color w:val="auto"/>
          <w:kern w:val="0"/>
          <w:sz w:val="24"/>
          <w:szCs w:val="24"/>
          <w:lang w:val="en-US" w:eastAsia="zh-CN"/>
          <w14:ligatures w14:val="none"/>
        </w:rPr>
      </w:pPr>
      <w:r>
        <w:rPr>
          <w:rFonts w:hint="eastAsia" w:ascii="宋体" w:hAnsi="宋体" w:eastAsia="宋体" w:cs="宋体"/>
          <w:color w:val="auto"/>
          <w:kern w:val="0"/>
          <w:sz w:val="24"/>
          <w:szCs w:val="24"/>
          <w:lang w:val="en-US" w:eastAsia="zh-CN"/>
          <w14:ligatures w14:val="none"/>
        </w:rPr>
        <w:t>★（9）在本项目涉及的软件系统建设中，供应商需要提供所投业务系统为同一公司产品，供应商需提供投标产品为同一公司证明材料，并加盖公章。</w:t>
      </w:r>
    </w:p>
    <w:p w14:paraId="0FB7BE11">
      <w:pPr>
        <w:keepNext w:val="0"/>
        <w:keepLines w:val="0"/>
        <w:pageBreakBefore w:val="0"/>
        <w:widowControl/>
        <w:kinsoku/>
        <w:wordWrap/>
        <w:overflowPunct/>
        <w:topLinePunct w:val="0"/>
        <w:autoSpaceDE/>
        <w:autoSpaceDN/>
        <w:bidi w:val="0"/>
        <w:adjustRightInd/>
        <w:snapToGrid/>
        <w:spacing w:line="500" w:lineRule="exact"/>
        <w:ind w:firstLine="0" w:firstLineChars="0"/>
        <w:jc w:val="left"/>
        <w:textAlignment w:val="auto"/>
        <w:rPr>
          <w:rFonts w:hint="default" w:ascii="宋体" w:hAnsi="宋体" w:eastAsia="宋体" w:cs="宋体"/>
          <w:color w:val="auto"/>
          <w:kern w:val="0"/>
          <w:sz w:val="24"/>
          <w:szCs w:val="24"/>
          <w:lang w:val="en-US" w:eastAsia="zh-CN"/>
          <w14:ligatures w14:val="none"/>
        </w:rPr>
      </w:pPr>
      <w:r>
        <w:rPr>
          <w:rFonts w:hint="eastAsia" w:ascii="宋体" w:hAnsi="宋体" w:eastAsia="宋体" w:cs="宋体"/>
          <w:color w:val="auto"/>
          <w:kern w:val="0"/>
          <w:sz w:val="24"/>
          <w:szCs w:val="24"/>
          <w:lang w:val="en-US" w:eastAsia="zh-CN"/>
          <w14:ligatures w14:val="none"/>
        </w:rPr>
        <w:t>★（10）中标供应商</w:t>
      </w:r>
      <w:r>
        <w:rPr>
          <w:rFonts w:hint="eastAsia" w:ascii="宋体" w:hAnsi="宋体" w:cs="宋体"/>
          <w:color w:val="auto"/>
          <w:kern w:val="0"/>
          <w:sz w:val="24"/>
          <w:szCs w:val="24"/>
          <w:lang w:val="en-US" w:eastAsia="zh-CN"/>
          <w14:ligatures w14:val="none"/>
        </w:rPr>
        <w:t>须在中标公示结束后</w:t>
      </w:r>
      <w:r>
        <w:rPr>
          <w:rFonts w:hint="eastAsia" w:ascii="宋体" w:hAnsi="宋体" w:eastAsia="宋体" w:cs="宋体"/>
          <w:color w:val="auto"/>
          <w:kern w:val="0"/>
          <w:sz w:val="24"/>
          <w:szCs w:val="24"/>
          <w:lang w:val="en-US" w:eastAsia="zh-CN"/>
          <w14:ligatures w14:val="none"/>
        </w:rPr>
        <w:t>三个工作日</w:t>
      </w:r>
      <w:r>
        <w:rPr>
          <w:rFonts w:hint="eastAsia" w:ascii="宋体" w:hAnsi="宋体" w:cs="宋体"/>
          <w:color w:val="auto"/>
          <w:kern w:val="0"/>
          <w:sz w:val="24"/>
          <w:szCs w:val="24"/>
          <w:lang w:val="en-US" w:eastAsia="zh-CN"/>
          <w14:ligatures w14:val="none"/>
        </w:rPr>
        <w:t>内提供原厂盖章的技术偏离表，否则视为无效投标。（投标人提供承诺函，承诺如</w:t>
      </w:r>
      <w:r>
        <w:rPr>
          <w:rFonts w:hint="eastAsia" w:ascii="宋体" w:hAnsi="宋体" w:eastAsia="宋体" w:cs="宋体"/>
          <w:color w:val="auto"/>
          <w:kern w:val="0"/>
          <w:sz w:val="24"/>
          <w:szCs w:val="24"/>
          <w:lang w:val="en-US" w:eastAsia="zh-CN"/>
          <w14:ligatures w14:val="none"/>
        </w:rPr>
        <w:t>在</w:t>
      </w:r>
      <w:r>
        <w:rPr>
          <w:rFonts w:hint="eastAsia" w:ascii="宋体" w:hAnsi="宋体" w:cs="宋体"/>
          <w:color w:val="auto"/>
          <w:kern w:val="0"/>
          <w:sz w:val="24"/>
          <w:szCs w:val="24"/>
          <w:lang w:val="en-US" w:eastAsia="zh-CN"/>
          <w14:ligatures w14:val="none"/>
        </w:rPr>
        <w:t>中标后一周内无法相关材料，则采购人有权取消其中标资格）</w:t>
      </w:r>
    </w:p>
    <w:p w14:paraId="7FDE7B08">
      <w:pPr>
        <w:keepNext w:val="0"/>
        <w:keepLines w:val="0"/>
        <w:pageBreakBefore w:val="0"/>
        <w:widowControl/>
        <w:kinsoku/>
        <w:wordWrap/>
        <w:overflowPunct/>
        <w:topLinePunct w:val="0"/>
        <w:autoSpaceDE/>
        <w:autoSpaceDN/>
        <w:bidi w:val="0"/>
        <w:adjustRightInd/>
        <w:snapToGrid/>
        <w:spacing w:line="500" w:lineRule="exact"/>
        <w:ind w:firstLine="0" w:firstLineChars="0"/>
        <w:jc w:val="left"/>
        <w:textAlignment w:val="auto"/>
        <w:rPr>
          <w:rFonts w:hint="default" w:ascii="宋体" w:hAnsi="宋体" w:eastAsia="宋体" w:cs="宋体"/>
          <w:color w:val="auto"/>
          <w:kern w:val="0"/>
          <w:sz w:val="24"/>
          <w:szCs w:val="24"/>
          <w:lang w:val="en-US" w:eastAsia="zh-CN"/>
          <w14:ligatures w14:val="none"/>
        </w:rPr>
      </w:pPr>
      <w:r>
        <w:rPr>
          <w:rFonts w:hint="eastAsia" w:ascii="宋体" w:hAnsi="宋体" w:eastAsia="宋体" w:cs="宋体"/>
          <w:color w:val="auto"/>
          <w:kern w:val="0"/>
          <w:sz w:val="24"/>
          <w:szCs w:val="24"/>
          <w:lang w:val="en-US" w:eastAsia="zh-CN"/>
          <w14:ligatures w14:val="none"/>
        </w:rPr>
        <w:t>★（1</w:t>
      </w:r>
      <w:r>
        <w:rPr>
          <w:rFonts w:hint="eastAsia" w:ascii="宋体" w:hAnsi="宋体" w:cs="宋体"/>
          <w:color w:val="auto"/>
          <w:kern w:val="0"/>
          <w:sz w:val="24"/>
          <w:szCs w:val="24"/>
          <w:lang w:val="en-US" w:eastAsia="zh-CN"/>
          <w14:ligatures w14:val="none"/>
        </w:rPr>
        <w:t>1</w:t>
      </w:r>
      <w:r>
        <w:rPr>
          <w:rFonts w:hint="eastAsia" w:ascii="宋体" w:hAnsi="宋体" w:eastAsia="宋体" w:cs="宋体"/>
          <w:color w:val="auto"/>
          <w:kern w:val="0"/>
          <w:sz w:val="24"/>
          <w:szCs w:val="24"/>
          <w:lang w:val="en-US" w:eastAsia="zh-CN"/>
          <w14:ligatures w14:val="none"/>
        </w:rPr>
        <w:t>）</w:t>
      </w:r>
      <w:r>
        <w:rPr>
          <w:rFonts w:hint="eastAsia" w:ascii="宋体" w:hAnsi="宋体" w:cs="宋体"/>
          <w:color w:val="auto"/>
          <w:kern w:val="0"/>
          <w:sz w:val="24"/>
          <w:szCs w:val="24"/>
          <w:lang w:val="en-US" w:eastAsia="zh-CN"/>
          <w14:ligatures w14:val="none"/>
        </w:rPr>
        <w:t>招标人将对第一中标候选人提交的所有资料进行考察、核实，若发现弄虚作假的，取消中标资格，并进行公示等相关处罚。（投标人提供承诺函，承诺若发现弄虚作假的，取消中标资格，并进行公示等相关处罚）</w:t>
      </w:r>
    </w:p>
    <w:p w14:paraId="044AB2BA">
      <w:pPr>
        <w:keepNext w:val="0"/>
        <w:keepLines w:val="0"/>
        <w:pageBreakBefore w:val="0"/>
        <w:widowControl/>
        <w:kinsoku/>
        <w:wordWrap/>
        <w:overflowPunct/>
        <w:topLinePunct w:val="0"/>
        <w:autoSpaceDE/>
        <w:autoSpaceDN/>
        <w:bidi w:val="0"/>
        <w:adjustRightInd/>
        <w:snapToGrid/>
        <w:spacing w:line="500" w:lineRule="exact"/>
        <w:ind w:firstLine="0" w:firstLineChars="0"/>
        <w:jc w:val="left"/>
        <w:textAlignment w:val="auto"/>
        <w:rPr>
          <w:rFonts w:hint="eastAsia" w:ascii="宋体" w:hAnsi="宋体" w:eastAsia="宋体" w:cs="宋体"/>
          <w:color w:val="auto"/>
          <w:kern w:val="0"/>
          <w:sz w:val="24"/>
          <w:szCs w:val="24"/>
          <w:lang w:val="en-US" w:eastAsia="zh-CN"/>
          <w14:ligatures w14:val="none"/>
        </w:rPr>
      </w:pPr>
      <w:r>
        <w:rPr>
          <w:rFonts w:hint="eastAsia" w:ascii="宋体" w:hAnsi="宋体" w:eastAsia="宋体" w:cs="宋体"/>
          <w:color w:val="auto"/>
          <w:kern w:val="0"/>
          <w:sz w:val="24"/>
          <w:szCs w:val="24"/>
          <w:lang w:val="en-US" w:eastAsia="zh-CN"/>
          <w14:ligatures w14:val="none"/>
        </w:rPr>
        <w:t>★</w:t>
      </w:r>
      <w:r>
        <w:rPr>
          <w:rFonts w:hint="eastAsia" w:ascii="宋体" w:hAnsi="宋体" w:cs="宋体"/>
          <w:color w:val="auto"/>
          <w:kern w:val="0"/>
          <w:sz w:val="24"/>
          <w:szCs w:val="24"/>
          <w:lang w:val="en-US" w:eastAsia="zh-CN"/>
          <w14:ligatures w14:val="none"/>
        </w:rPr>
        <w:t>（12）</w:t>
      </w:r>
      <w:r>
        <w:rPr>
          <w:rFonts w:hint="eastAsia" w:ascii="宋体" w:hAnsi="宋体" w:eastAsia="宋体" w:cs="宋体"/>
          <w:color w:val="auto"/>
          <w:kern w:val="0"/>
          <w:sz w:val="24"/>
          <w:szCs w:val="24"/>
          <w:lang w:val="en-US" w:eastAsia="zh-CN"/>
          <w14:ligatures w14:val="none"/>
        </w:rPr>
        <w:t>中标供应商须在</w:t>
      </w:r>
      <w:r>
        <w:rPr>
          <w:rFonts w:hint="eastAsia" w:ascii="宋体" w:hAnsi="宋体" w:cs="宋体"/>
          <w:color w:val="auto"/>
          <w:kern w:val="0"/>
          <w:sz w:val="24"/>
          <w:szCs w:val="24"/>
          <w:lang w:val="en-US" w:eastAsia="zh-CN"/>
          <w14:ligatures w14:val="none"/>
        </w:rPr>
        <w:t>中标公示结束后</w:t>
      </w:r>
      <w:r>
        <w:rPr>
          <w:rFonts w:hint="eastAsia" w:ascii="宋体" w:hAnsi="宋体" w:eastAsia="宋体" w:cs="宋体"/>
          <w:color w:val="auto"/>
          <w:kern w:val="0"/>
          <w:sz w:val="24"/>
          <w:szCs w:val="24"/>
          <w:lang w:val="en-US" w:eastAsia="zh-CN"/>
          <w14:ligatures w14:val="none"/>
        </w:rPr>
        <w:t>三个工作日</w:t>
      </w:r>
      <w:r>
        <w:rPr>
          <w:rFonts w:hint="eastAsia" w:ascii="宋体" w:hAnsi="宋体" w:cs="宋体"/>
          <w:color w:val="auto"/>
          <w:kern w:val="0"/>
          <w:sz w:val="24"/>
          <w:szCs w:val="24"/>
          <w:lang w:val="en-US" w:eastAsia="zh-CN"/>
          <w14:ligatures w14:val="none"/>
        </w:rPr>
        <w:t>内</w:t>
      </w:r>
      <w:r>
        <w:rPr>
          <w:rFonts w:hint="eastAsia" w:ascii="宋体" w:hAnsi="宋体" w:eastAsia="宋体" w:cs="宋体"/>
          <w:color w:val="auto"/>
          <w:kern w:val="0"/>
          <w:sz w:val="24"/>
          <w:szCs w:val="24"/>
          <w:lang w:val="en-US" w:eastAsia="zh-CN"/>
          <w14:ligatures w14:val="none"/>
        </w:rPr>
        <w:t>提供：原厂技术响应承诺函和针对本项目的原厂质保函原件并加盖原厂公章；未能按期提供上述材料的，取消其中标资格。</w:t>
      </w:r>
      <w:r>
        <w:rPr>
          <w:rFonts w:hint="eastAsia" w:ascii="宋体" w:hAnsi="宋体" w:cs="宋体"/>
          <w:color w:val="auto"/>
          <w:kern w:val="0"/>
          <w:sz w:val="24"/>
          <w:szCs w:val="24"/>
          <w:lang w:val="en-US" w:eastAsia="zh-CN"/>
          <w14:ligatures w14:val="none"/>
        </w:rPr>
        <w:t>（投标人提供承诺函，承诺</w:t>
      </w:r>
      <w:r>
        <w:rPr>
          <w:rFonts w:hint="eastAsia" w:ascii="宋体" w:hAnsi="宋体" w:eastAsia="宋体" w:cs="宋体"/>
          <w:color w:val="auto"/>
          <w:kern w:val="0"/>
          <w:sz w:val="24"/>
          <w:szCs w:val="24"/>
          <w:lang w:val="en-US" w:eastAsia="zh-CN"/>
          <w14:ligatures w14:val="none"/>
        </w:rPr>
        <w:t>在中标公示结束后三个工作日内提供</w:t>
      </w:r>
      <w:r>
        <w:rPr>
          <w:rFonts w:hint="eastAsia" w:ascii="宋体" w:hAnsi="宋体" w:cs="宋体"/>
          <w:color w:val="auto"/>
          <w:kern w:val="0"/>
          <w:sz w:val="24"/>
          <w:szCs w:val="24"/>
          <w:lang w:val="en-US" w:eastAsia="zh-CN"/>
          <w14:ligatures w14:val="none"/>
        </w:rPr>
        <w:t>所需材料）</w:t>
      </w:r>
    </w:p>
    <w:p w14:paraId="7E532917">
      <w:pPr>
        <w:keepNext w:val="0"/>
        <w:keepLines w:val="0"/>
        <w:pageBreakBefore w:val="0"/>
        <w:widowControl/>
        <w:kinsoku/>
        <w:wordWrap/>
        <w:overflowPunct/>
        <w:topLinePunct w:val="0"/>
        <w:autoSpaceDE/>
        <w:autoSpaceDN/>
        <w:bidi w:val="0"/>
        <w:adjustRightInd/>
        <w:snapToGrid/>
        <w:spacing w:line="500" w:lineRule="exact"/>
        <w:ind w:firstLine="0" w:firstLineChars="0"/>
        <w:jc w:val="left"/>
        <w:textAlignment w:val="auto"/>
        <w:rPr>
          <w:rFonts w:hint="eastAsia" w:ascii="宋体" w:hAnsi="宋体" w:eastAsia="宋体" w:cs="宋体"/>
          <w:color w:val="auto"/>
          <w:kern w:val="0"/>
          <w:sz w:val="24"/>
          <w:szCs w:val="24"/>
          <w:lang w:val="en-US" w:eastAsia="zh-CN"/>
          <w14:ligatures w14:val="none"/>
        </w:rPr>
      </w:pPr>
      <w:r>
        <w:rPr>
          <w:rFonts w:hint="eastAsia" w:ascii="宋体" w:hAnsi="宋体" w:eastAsia="宋体" w:cs="宋体"/>
          <w:color w:val="auto"/>
          <w:kern w:val="0"/>
          <w:sz w:val="24"/>
          <w:szCs w:val="24"/>
          <w:lang w:val="en-US" w:eastAsia="zh-CN"/>
          <w14:ligatures w14:val="none"/>
        </w:rPr>
        <w:t>备注：</w:t>
      </w:r>
    </w:p>
    <w:p w14:paraId="37E50329">
      <w:pPr>
        <w:rPr>
          <w:rFonts w:hint="eastAsia" w:asciiTheme="majorEastAsia" w:hAnsiTheme="majorEastAsia" w:eastAsiaTheme="majorEastAsia" w:cstheme="majorEastAsia"/>
          <w:color w:val="auto"/>
          <w:sz w:val="44"/>
          <w:szCs w:val="44"/>
          <w:highlight w:val="none"/>
        </w:rPr>
      </w:pPr>
      <w:r>
        <w:rPr>
          <w:rFonts w:hint="eastAsia" w:ascii="宋体" w:hAnsi="宋体" w:eastAsia="宋体" w:cs="宋体"/>
          <w:color w:val="auto"/>
          <w:kern w:val="0"/>
          <w:sz w:val="24"/>
          <w:szCs w:val="24"/>
          <w:lang w:val="en-US" w:eastAsia="zh-CN"/>
          <w14:ligatures w14:val="none"/>
        </w:rPr>
        <w:t>维保期：验收合格后，提供一年免</w:t>
      </w:r>
      <w:r>
        <w:rPr>
          <w:rFonts w:hint="eastAsia" w:ascii="宋体" w:hAnsi="宋体" w:cs="宋体"/>
          <w:color w:val="auto"/>
          <w:kern w:val="0"/>
          <w:sz w:val="24"/>
          <w:szCs w:val="24"/>
          <w:lang w:val="en-US" w:eastAsia="zh-CN"/>
          <w14:ligatures w14:val="none"/>
        </w:rPr>
        <w:t>，</w:t>
      </w:r>
      <w:r>
        <w:rPr>
          <w:rFonts w:hint="eastAsia" w:ascii="宋体" w:hAnsi="宋体" w:eastAsia="宋体" w:cs="宋体"/>
          <w:color w:val="auto"/>
          <w:kern w:val="0"/>
          <w:sz w:val="24"/>
          <w:szCs w:val="24"/>
          <w:lang w:val="en-US" w:eastAsia="zh-CN"/>
          <w14:ligatures w14:val="none"/>
        </w:rPr>
        <w:t>费维保。</w:t>
      </w:r>
      <w:r>
        <w:rPr>
          <w:rFonts w:hint="eastAsia" w:asciiTheme="majorEastAsia" w:hAnsiTheme="majorEastAsia" w:eastAsiaTheme="majorEastAsia" w:cstheme="majorEastAsia"/>
          <w:color w:val="auto"/>
          <w:sz w:val="44"/>
          <w:szCs w:val="44"/>
          <w:highlight w:val="none"/>
        </w:rPr>
        <w:br w:type="page"/>
      </w:r>
    </w:p>
    <w:p w14:paraId="7A89361D">
      <w:pPr>
        <w:jc w:val="center"/>
        <w:outlineLvl w:val="0"/>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color w:val="auto"/>
          <w:sz w:val="32"/>
          <w:szCs w:val="32"/>
          <w:highlight w:val="none"/>
        </w:rPr>
        <w:t>第六章</w:t>
      </w:r>
      <w:r>
        <w:rPr>
          <w:rFonts w:hint="eastAsia" w:asciiTheme="majorEastAsia" w:hAnsiTheme="majorEastAsia" w:eastAsiaTheme="majorEastAsia" w:cstheme="majorEastAsia"/>
          <w:color w:val="auto"/>
          <w:sz w:val="44"/>
          <w:szCs w:val="44"/>
          <w:highlight w:val="none"/>
        </w:rPr>
        <w:t xml:space="preserve"> </w:t>
      </w:r>
      <w:r>
        <w:rPr>
          <w:rFonts w:hint="eastAsia" w:asciiTheme="majorEastAsia" w:hAnsiTheme="majorEastAsia" w:eastAsiaTheme="majorEastAsia" w:cstheme="majorEastAsia"/>
          <w:b/>
          <w:color w:val="auto"/>
          <w:sz w:val="32"/>
          <w:szCs w:val="32"/>
          <w:highlight w:val="none"/>
        </w:rPr>
        <w:t>投标文件的编制要求及参考格式</w:t>
      </w:r>
      <w:bookmarkEnd w:id="307"/>
      <w:r>
        <w:rPr>
          <w:rFonts w:hint="eastAsia" w:asciiTheme="majorEastAsia" w:hAnsiTheme="majorEastAsia" w:eastAsiaTheme="majorEastAsia" w:cstheme="majorEastAsia"/>
          <w:b/>
          <w:color w:val="auto"/>
          <w:highlight w:val="none"/>
        </w:rPr>
        <w:t xml:space="preserve"> </w:t>
      </w:r>
      <w:bookmarkStart w:id="316" w:name="_Hlt26671244"/>
      <w:bookmarkEnd w:id="316"/>
      <w:bookmarkStart w:id="317" w:name="_Hlt26955039"/>
      <w:bookmarkEnd w:id="317"/>
      <w:bookmarkStart w:id="318" w:name="_Toc288030359"/>
      <w:bookmarkStart w:id="319" w:name="_Toc282446331"/>
      <w:bookmarkStart w:id="320" w:name="_Toc26554094"/>
      <w:bookmarkStart w:id="321" w:name="_Toc49090576"/>
      <w:bookmarkStart w:id="322" w:name="_Toc120614282"/>
    </w:p>
    <w:p w14:paraId="77B3CD8C">
      <w:pPr>
        <w:pStyle w:val="20"/>
        <w:spacing w:line="360" w:lineRule="exact"/>
        <w:ind w:left="646" w:firstLine="0"/>
        <w:jc w:val="center"/>
        <w:rPr>
          <w:rFonts w:hint="eastAsia" w:asciiTheme="majorEastAsia" w:hAnsiTheme="majorEastAsia" w:eastAsiaTheme="majorEastAsia" w:cstheme="majorEastAsia"/>
          <w:b/>
          <w:color w:val="auto"/>
          <w:sz w:val="44"/>
          <w:szCs w:val="44"/>
          <w:highlight w:val="none"/>
        </w:rPr>
      </w:pPr>
    </w:p>
    <w:p w14:paraId="0BF87B25">
      <w:pPr>
        <w:spacing w:line="500" w:lineRule="exact"/>
        <w:outlineLvl w:val="1"/>
        <w:rPr>
          <w:rFonts w:hint="eastAsia" w:asciiTheme="majorEastAsia" w:hAnsiTheme="majorEastAsia" w:eastAsiaTheme="majorEastAsia" w:cstheme="majorEastAsia"/>
          <w:color w:val="auto"/>
          <w:highlight w:val="none"/>
        </w:rPr>
      </w:pPr>
      <w:bookmarkStart w:id="323" w:name="_Toc426469932"/>
      <w:bookmarkStart w:id="324" w:name="_Toc26281"/>
      <w:r>
        <w:rPr>
          <w:rFonts w:hint="eastAsia" w:asciiTheme="majorEastAsia" w:hAnsiTheme="majorEastAsia" w:eastAsiaTheme="majorEastAsia" w:cstheme="majorEastAsia"/>
          <w:color w:val="auto"/>
          <w:highlight w:val="none"/>
        </w:rPr>
        <w:t>1.投标文件的组成</w:t>
      </w:r>
      <w:bookmarkEnd w:id="323"/>
      <w:bookmarkEnd w:id="324"/>
    </w:p>
    <w:p w14:paraId="0C29409B">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bookmarkStart w:id="325" w:name="_Toc426469933"/>
      <w:r>
        <w:rPr>
          <w:rFonts w:hint="eastAsia" w:asciiTheme="majorEastAsia" w:hAnsiTheme="majorEastAsia" w:eastAsiaTheme="majorEastAsia" w:cstheme="majorEastAsia"/>
          <w:color w:val="auto"/>
          <w:highlight w:val="none"/>
        </w:rPr>
        <w:t>见本招标文件第二章3.1条。</w:t>
      </w:r>
    </w:p>
    <w:p w14:paraId="605C7C66">
      <w:pPr>
        <w:spacing w:line="500" w:lineRule="exact"/>
        <w:outlineLvl w:val="1"/>
        <w:rPr>
          <w:rFonts w:hint="eastAsia" w:asciiTheme="majorEastAsia" w:hAnsiTheme="majorEastAsia" w:eastAsiaTheme="majorEastAsia" w:cstheme="majorEastAsia"/>
          <w:color w:val="auto"/>
          <w:highlight w:val="none"/>
        </w:rPr>
      </w:pPr>
      <w:bookmarkStart w:id="326" w:name="_Toc10906"/>
      <w:r>
        <w:rPr>
          <w:rFonts w:hint="eastAsia" w:asciiTheme="majorEastAsia" w:hAnsiTheme="majorEastAsia" w:eastAsiaTheme="majorEastAsia" w:cstheme="majorEastAsia"/>
          <w:color w:val="auto"/>
          <w:highlight w:val="none"/>
        </w:rPr>
        <w:t>2.投标文件的编制内容及编制要求</w:t>
      </w:r>
      <w:bookmarkEnd w:id="325"/>
      <w:bookmarkEnd w:id="326"/>
    </w:p>
    <w:p w14:paraId="49AE2AF5">
      <w:pPr>
        <w:spacing w:line="50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2.1开标一览表</w:t>
      </w:r>
    </w:p>
    <w:p w14:paraId="355EE37D">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2.1.1 供应商应按表中格式完整、清晰、正确填写；</w:t>
      </w:r>
    </w:p>
    <w:p w14:paraId="5D0CDB3B">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2.1.2开标一览表中的价格应与投标文件中</w:t>
      </w:r>
      <w:bookmarkStart w:id="327" w:name="OLE_LINK8"/>
      <w:r>
        <w:rPr>
          <w:rFonts w:hint="eastAsia" w:asciiTheme="majorEastAsia" w:hAnsiTheme="majorEastAsia" w:eastAsiaTheme="majorEastAsia" w:cstheme="majorEastAsia"/>
          <w:color w:val="auto"/>
          <w:highlight w:val="none"/>
        </w:rPr>
        <w:t>投标报价明细表</w:t>
      </w:r>
      <w:bookmarkEnd w:id="327"/>
      <w:r>
        <w:rPr>
          <w:rFonts w:hint="eastAsia" w:asciiTheme="majorEastAsia" w:hAnsiTheme="majorEastAsia" w:eastAsiaTheme="majorEastAsia" w:cstheme="majorEastAsia"/>
          <w:color w:val="auto"/>
          <w:highlight w:val="none"/>
        </w:rPr>
        <w:t>中的价格一致；</w:t>
      </w:r>
    </w:p>
    <w:p w14:paraId="34534E78">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2.1.3开标一览表格式见附件。</w:t>
      </w:r>
    </w:p>
    <w:p w14:paraId="207C5210">
      <w:pPr>
        <w:spacing w:line="50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2.2 投标函</w:t>
      </w:r>
    </w:p>
    <w:p w14:paraId="3C4A9584">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2.2.1供应商应按表中规定格式完整、清晰、正确填写；</w:t>
      </w:r>
    </w:p>
    <w:p w14:paraId="035CD2EF">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2.2.2投标函必须加盖供应商法人公章并经法定代表人签字或签章。</w:t>
      </w:r>
    </w:p>
    <w:p w14:paraId="40D1B154">
      <w:pPr>
        <w:spacing w:line="50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2.3资格条件证明文件</w:t>
      </w:r>
    </w:p>
    <w:p w14:paraId="19616676">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（1）供应商基本资格条件承诺函；</w:t>
      </w:r>
    </w:p>
    <w:p w14:paraId="3212F729">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（2）招标文件要求的其他资格条件证明材料。</w:t>
      </w:r>
    </w:p>
    <w:p w14:paraId="11DDA6D1">
      <w:pPr>
        <w:spacing w:line="50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2.4投标偏离表</w:t>
      </w:r>
    </w:p>
    <w:p w14:paraId="48EEA994">
      <w:pPr>
        <w:spacing w:line="500" w:lineRule="exact"/>
        <w:ind w:firstLine="480" w:firstLineChars="200"/>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color w:val="auto"/>
          <w:highlight w:val="none"/>
        </w:rPr>
        <w:t>供应商应仔细阅读招标文件第五章采购需求，结合自身的实际情况，如实编制，格式自拟。</w:t>
      </w:r>
      <w:r>
        <w:rPr>
          <w:rFonts w:hint="eastAsia" w:asciiTheme="majorEastAsia" w:hAnsiTheme="majorEastAsia" w:eastAsiaTheme="majorEastAsia" w:cstheme="majorEastAsia"/>
          <w:b/>
          <w:color w:val="auto"/>
          <w:highlight w:val="none"/>
        </w:rPr>
        <w:t>投标偏离表须详细说明实际提供的服务及其他采购需求中相关要求的响应情况。</w:t>
      </w:r>
    </w:p>
    <w:p w14:paraId="02239073">
      <w:pPr>
        <w:spacing w:line="500" w:lineRule="exac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2.5供应商认为应列入投标文件的其他材料</w:t>
      </w:r>
    </w:p>
    <w:p w14:paraId="7B5C65FC">
      <w:pPr>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供应商应对照第三章评标办法中的评审因素，结合自身的实际情况，如实编制，格式自拟。</w:t>
      </w:r>
    </w:p>
    <w:p w14:paraId="3AAB8765">
      <w:pPr>
        <w:spacing w:line="500" w:lineRule="exact"/>
        <w:outlineLvl w:val="1"/>
        <w:rPr>
          <w:rFonts w:hint="eastAsia" w:asciiTheme="majorEastAsia" w:hAnsiTheme="majorEastAsia" w:eastAsiaTheme="majorEastAsia" w:cstheme="majorEastAsia"/>
          <w:color w:val="auto"/>
          <w:sz w:val="32"/>
          <w:szCs w:val="32"/>
          <w:highlight w:val="none"/>
        </w:rPr>
      </w:pPr>
      <w:bookmarkStart w:id="328" w:name="_Toc426469934"/>
      <w:r>
        <w:rPr>
          <w:rFonts w:hint="eastAsia" w:asciiTheme="majorEastAsia" w:hAnsiTheme="majorEastAsia" w:eastAsiaTheme="majorEastAsia" w:cstheme="majorEastAsia"/>
          <w:color w:val="auto"/>
          <w:sz w:val="32"/>
          <w:szCs w:val="32"/>
          <w:highlight w:val="none"/>
        </w:rPr>
        <w:br w:type="page"/>
      </w:r>
      <w:bookmarkStart w:id="329" w:name="_Toc9930"/>
      <w:r>
        <w:rPr>
          <w:rFonts w:hint="eastAsia" w:asciiTheme="majorEastAsia" w:hAnsiTheme="majorEastAsia" w:eastAsiaTheme="majorEastAsia" w:cstheme="majorEastAsia"/>
          <w:color w:val="auto"/>
          <w:sz w:val="32"/>
          <w:szCs w:val="32"/>
          <w:highlight w:val="none"/>
        </w:rPr>
        <w:t>3. 投标文件参考格式</w:t>
      </w:r>
      <w:bookmarkEnd w:id="318"/>
      <w:bookmarkEnd w:id="319"/>
      <w:bookmarkEnd w:id="320"/>
      <w:bookmarkEnd w:id="321"/>
      <w:bookmarkEnd w:id="322"/>
      <w:bookmarkEnd w:id="328"/>
      <w:bookmarkEnd w:id="329"/>
      <w:bookmarkStart w:id="330" w:name="_Toc426469936"/>
      <w:bookmarkStart w:id="331" w:name="_Toc426469937"/>
      <w:bookmarkStart w:id="332" w:name="_Toc390099111"/>
      <w:bookmarkStart w:id="333" w:name="_Toc382812507"/>
      <w:bookmarkStart w:id="334" w:name="_Toc383623749"/>
      <w:bookmarkStart w:id="335" w:name="_Toc382811607"/>
      <w:bookmarkStart w:id="336" w:name="_Toc383698722"/>
      <w:bookmarkStart w:id="337" w:name="_Toc383624021"/>
      <w:bookmarkStart w:id="338" w:name="_Toc382812316"/>
      <w:bookmarkStart w:id="339" w:name="_Toc382814038"/>
      <w:bookmarkStart w:id="340" w:name="_Toc390246998"/>
      <w:bookmarkStart w:id="341" w:name="_Toc383626069"/>
      <w:bookmarkStart w:id="342" w:name="_Toc390098915"/>
      <w:bookmarkStart w:id="343" w:name="_Toc382811202"/>
      <w:bookmarkStart w:id="344" w:name="_Toc383587529"/>
      <w:bookmarkStart w:id="345" w:name="_Toc383679822"/>
      <w:bookmarkStart w:id="346" w:name="_Toc382813957"/>
    </w:p>
    <w:p w14:paraId="0687A623">
      <w:pPr>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3.1投标文件封面格式</w:t>
      </w:r>
      <w:bookmarkEnd w:id="330"/>
    </w:p>
    <w:p w14:paraId="7075E6BB">
      <w:pPr>
        <w:spacing w:line="360" w:lineRule="exact"/>
        <w:ind w:firstLine="480" w:firstLineChars="200"/>
        <w:jc w:val="center"/>
        <w:rPr>
          <w:rFonts w:hint="eastAsia" w:asciiTheme="majorEastAsia" w:hAnsiTheme="majorEastAsia" w:eastAsiaTheme="majorEastAsia" w:cstheme="majorEastAsia"/>
          <w:color w:val="auto"/>
          <w:highlight w:val="none"/>
        </w:rPr>
      </w:pPr>
    </w:p>
    <w:p w14:paraId="603FA6CE">
      <w:pPr>
        <w:spacing w:line="360" w:lineRule="exact"/>
        <w:ind w:firstLine="480" w:firstLineChars="200"/>
        <w:jc w:val="center"/>
        <w:rPr>
          <w:rFonts w:hint="eastAsia" w:asciiTheme="majorEastAsia" w:hAnsiTheme="majorEastAsia" w:eastAsiaTheme="majorEastAsia" w:cstheme="majorEastAsia"/>
          <w:color w:val="auto"/>
          <w:highlight w:val="none"/>
        </w:rPr>
      </w:pPr>
    </w:p>
    <w:p w14:paraId="0053FED4">
      <w:pPr>
        <w:jc w:val="center"/>
        <w:rPr>
          <w:rFonts w:hint="eastAsia" w:asciiTheme="majorEastAsia" w:hAnsiTheme="majorEastAsia" w:eastAsiaTheme="majorEastAsia" w:cstheme="majorEastAsia"/>
          <w:b/>
          <w:color w:val="auto"/>
          <w:sz w:val="48"/>
          <w:szCs w:val="48"/>
          <w:highlight w:val="none"/>
        </w:rPr>
      </w:pPr>
      <w:r>
        <w:rPr>
          <w:rFonts w:hint="eastAsia" w:asciiTheme="majorEastAsia" w:hAnsiTheme="majorEastAsia" w:eastAsiaTheme="majorEastAsia" w:cstheme="majorEastAsia"/>
          <w:b/>
          <w:color w:val="auto"/>
          <w:sz w:val="48"/>
          <w:szCs w:val="48"/>
          <w:highlight w:val="none"/>
        </w:rPr>
        <w:t>投标文件</w:t>
      </w:r>
    </w:p>
    <w:p w14:paraId="21C23033">
      <w:pPr>
        <w:pStyle w:val="10"/>
        <w:rPr>
          <w:rFonts w:hint="eastAsia" w:asciiTheme="majorEastAsia" w:hAnsiTheme="majorEastAsia" w:eastAsiaTheme="majorEastAsia" w:cstheme="majorEastAsia"/>
          <w:color w:val="auto"/>
          <w:highlight w:val="none"/>
        </w:rPr>
      </w:pPr>
    </w:p>
    <w:p w14:paraId="568C186F">
      <w:pPr>
        <w:spacing w:line="440" w:lineRule="exact"/>
        <w:ind w:firstLine="2160" w:firstLineChars="9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采购项目名称：</w:t>
      </w:r>
    </w:p>
    <w:p w14:paraId="09068199">
      <w:pPr>
        <w:spacing w:line="440" w:lineRule="exact"/>
        <w:ind w:firstLine="2160" w:firstLineChars="9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采购项目编号：</w:t>
      </w:r>
    </w:p>
    <w:p w14:paraId="7E4C88C8">
      <w:pPr>
        <w:spacing w:line="360" w:lineRule="exact"/>
        <w:ind w:firstLine="1080" w:firstLineChars="450"/>
        <w:rPr>
          <w:rFonts w:hint="eastAsia" w:asciiTheme="majorEastAsia" w:hAnsiTheme="majorEastAsia" w:eastAsiaTheme="majorEastAsia" w:cstheme="majorEastAsia"/>
          <w:color w:val="auto"/>
          <w:highlight w:val="none"/>
        </w:rPr>
      </w:pPr>
    </w:p>
    <w:p w14:paraId="735F0332">
      <w:pPr>
        <w:spacing w:line="360" w:lineRule="exact"/>
        <w:ind w:firstLine="480" w:firstLineChars="200"/>
        <w:rPr>
          <w:rFonts w:hint="eastAsia" w:asciiTheme="majorEastAsia" w:hAnsiTheme="majorEastAsia" w:eastAsiaTheme="majorEastAsia" w:cstheme="majorEastAsia"/>
          <w:color w:val="auto"/>
          <w:highlight w:val="none"/>
        </w:rPr>
      </w:pPr>
    </w:p>
    <w:p w14:paraId="7D991EA8">
      <w:pPr>
        <w:tabs>
          <w:tab w:val="left" w:pos="2700"/>
        </w:tabs>
        <w:spacing w:line="400" w:lineRule="exact"/>
        <w:ind w:firstLine="2160" w:firstLineChars="9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供应商名称：</w:t>
      </w:r>
      <w:r>
        <w:rPr>
          <w:rFonts w:hint="eastAsia" w:asciiTheme="majorEastAsia" w:hAnsiTheme="majorEastAsia" w:eastAsiaTheme="majorEastAsia" w:cstheme="majorEastAsia"/>
          <w:color w:val="auto"/>
          <w:highlight w:val="none"/>
          <w:u w:val="single"/>
        </w:rPr>
        <w:t xml:space="preserve">  （盖法人章）     </w:t>
      </w:r>
    </w:p>
    <w:p w14:paraId="28531699">
      <w:pPr>
        <w:tabs>
          <w:tab w:val="left" w:pos="2700"/>
        </w:tabs>
        <w:spacing w:line="400" w:lineRule="exact"/>
        <w:ind w:firstLine="2160" w:firstLineChars="9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联系人：</w:t>
      </w:r>
    </w:p>
    <w:p w14:paraId="3332DDF3">
      <w:pPr>
        <w:tabs>
          <w:tab w:val="left" w:pos="2700"/>
        </w:tabs>
        <w:spacing w:line="400" w:lineRule="exact"/>
        <w:ind w:firstLine="2160" w:firstLineChars="9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联系电话：</w:t>
      </w:r>
    </w:p>
    <w:p w14:paraId="104E200C">
      <w:pPr>
        <w:spacing w:line="400" w:lineRule="exact"/>
        <w:ind w:firstLine="2160" w:firstLineChars="9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日期：______年____月____日</w:t>
      </w:r>
    </w:p>
    <w:p w14:paraId="0EFB7673">
      <w:pPr>
        <w:spacing w:line="400" w:lineRule="exact"/>
        <w:ind w:firstLine="2520" w:firstLineChars="900"/>
        <w:rPr>
          <w:rFonts w:hint="eastAsia" w:asciiTheme="majorEastAsia" w:hAnsiTheme="majorEastAsia" w:eastAsiaTheme="majorEastAsia" w:cstheme="majorEastAsia"/>
          <w:color w:val="auto"/>
          <w:sz w:val="28"/>
          <w:szCs w:val="28"/>
          <w:highlight w:val="none"/>
        </w:rPr>
      </w:pPr>
    </w:p>
    <w:p w14:paraId="1A5017A9">
      <w:pPr>
        <w:spacing w:line="400" w:lineRule="exact"/>
        <w:rPr>
          <w:rFonts w:hint="eastAsia" w:asciiTheme="majorEastAsia" w:hAnsiTheme="majorEastAsia" w:eastAsiaTheme="majorEastAsia" w:cstheme="majorEastAsia"/>
          <w:color w:val="auto"/>
          <w:sz w:val="28"/>
          <w:szCs w:val="28"/>
          <w:highlight w:val="none"/>
        </w:rPr>
      </w:pPr>
    </w:p>
    <w:p w14:paraId="1C4FAAB3">
      <w:pPr>
        <w:spacing w:line="400" w:lineRule="exact"/>
        <w:rPr>
          <w:rFonts w:hint="eastAsia" w:asciiTheme="majorEastAsia" w:hAnsiTheme="majorEastAsia" w:eastAsiaTheme="majorEastAsia" w:cstheme="majorEastAsia"/>
          <w:color w:val="auto"/>
          <w:sz w:val="28"/>
          <w:szCs w:val="28"/>
          <w:highlight w:val="none"/>
        </w:rPr>
      </w:pPr>
    </w:p>
    <w:p w14:paraId="53991863">
      <w:pPr>
        <w:spacing w:line="400" w:lineRule="exact"/>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3.2 开标一览表</w:t>
      </w:r>
      <w:bookmarkEnd w:id="331"/>
    </w:p>
    <w:p w14:paraId="374730A6">
      <w:pPr>
        <w:rPr>
          <w:rFonts w:hint="eastAsia" w:asciiTheme="majorEastAsia" w:hAnsiTheme="majorEastAsia" w:eastAsiaTheme="majorEastAsia" w:cstheme="majorEastAsia"/>
          <w:b/>
          <w:color w:val="auto"/>
          <w:sz w:val="32"/>
          <w:szCs w:val="32"/>
          <w:highlight w:val="none"/>
        </w:rPr>
      </w:pPr>
      <w:bookmarkStart w:id="347" w:name="_Toc426469938"/>
      <w:r>
        <w:rPr>
          <w:rFonts w:hint="eastAsia" w:asciiTheme="majorEastAsia" w:hAnsiTheme="majorEastAsia" w:eastAsiaTheme="majorEastAsia" w:cstheme="majorEastAsia"/>
          <w:color w:val="auto"/>
          <w:highlight w:val="none"/>
        </w:rPr>
        <w:t xml:space="preserve">                  </w:t>
      </w:r>
      <w:r>
        <w:rPr>
          <w:rFonts w:hint="eastAsia" w:asciiTheme="majorEastAsia" w:hAnsiTheme="majorEastAsia" w:eastAsiaTheme="majorEastAsia" w:cstheme="majorEastAsia"/>
          <w:b/>
          <w:color w:val="auto"/>
          <w:sz w:val="32"/>
          <w:szCs w:val="32"/>
          <w:highlight w:val="none"/>
        </w:rPr>
        <w:t>开标一览表</w:t>
      </w:r>
    </w:p>
    <w:p w14:paraId="3AA76194">
      <w:pPr>
        <w:spacing w:line="560" w:lineRule="exact"/>
        <w:jc w:val="center"/>
        <w:rPr>
          <w:rFonts w:ascii="仿宋_GB2312" w:hAnsi="仿宋_GB2312" w:eastAsia="仿宋_GB2312" w:cs="仿宋_GB2312"/>
          <w:b/>
          <w:color w:val="auto"/>
          <w:sz w:val="32"/>
          <w:szCs w:val="32"/>
        </w:rPr>
      </w:pPr>
      <w:r>
        <w:rPr>
          <w:rFonts w:hint="eastAsia" w:asciiTheme="majorEastAsia" w:hAnsiTheme="majorEastAsia" w:eastAsiaTheme="majorEastAsia" w:cstheme="majorEastAsia"/>
          <w:b/>
          <w:color w:val="auto"/>
          <w:sz w:val="32"/>
          <w:szCs w:val="32"/>
          <w:highlight w:val="none"/>
        </w:rPr>
        <w:t>开标</w:t>
      </w:r>
      <w:r>
        <w:rPr>
          <w:rFonts w:hint="eastAsia" w:ascii="仿宋_GB2312" w:hAnsi="仿宋_GB2312" w:eastAsia="仿宋_GB2312" w:cs="仿宋_GB2312"/>
          <w:b/>
          <w:color w:val="auto"/>
          <w:sz w:val="32"/>
          <w:szCs w:val="32"/>
        </w:rPr>
        <w:t>一览表</w:t>
      </w:r>
    </w:p>
    <w:p w14:paraId="58576DBD">
      <w:pP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按“江苏省政府采购管理交易系统（苏采云）”中格式填写。</w:t>
      </w:r>
    </w:p>
    <w:p w14:paraId="7DAE1B5B">
      <w:pPr>
        <w:rPr>
          <w:rFonts w:hint="eastAsia" w:ascii="仿宋_GB2312" w:hAnsi="仿宋_GB2312" w:eastAsia="仿宋_GB2312" w:cs="仿宋_GB2312"/>
          <w:color w:val="auto"/>
          <w:sz w:val="28"/>
          <w:szCs w:val="28"/>
        </w:rPr>
        <w:sectPr>
          <w:footerReference r:id="rId3" w:type="default"/>
          <w:pgSz w:w="11906" w:h="16838"/>
          <w:pgMar w:top="1213" w:right="1558" w:bottom="1157" w:left="1701" w:header="851" w:footer="992" w:gutter="0"/>
          <w:cols w:space="425" w:num="1"/>
          <w:docGrid w:type="lines" w:linePitch="312" w:charSpace="0"/>
        </w:sectPr>
      </w:pPr>
    </w:p>
    <w:p w14:paraId="1CB42F9D">
      <w:pPr>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b/>
          <w:color w:val="auto"/>
          <w:sz w:val="28"/>
          <w:szCs w:val="28"/>
          <w:highlight w:val="none"/>
        </w:rPr>
        <w:t>3.3 投标函</w:t>
      </w:r>
      <w:bookmarkEnd w:id="347"/>
    </w:p>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14:paraId="5E3CFE84">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right="0"/>
        <w:jc w:val="center"/>
        <w:rPr>
          <w:color w:val="auto"/>
        </w:rPr>
      </w:pPr>
      <w:r>
        <w:rPr>
          <w:rFonts w:ascii="黑体" w:hAnsi="宋体" w:eastAsia="黑体" w:cs="黑体"/>
          <w:color w:val="auto"/>
          <w:sz w:val="28"/>
          <w:szCs w:val="28"/>
        </w:rPr>
        <w:t>投标函</w:t>
      </w:r>
    </w:p>
    <w:p w14:paraId="4248F217">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jc w:val="both"/>
        <w:rPr>
          <w:color w:val="auto"/>
        </w:rPr>
      </w:pPr>
      <w:r>
        <w:rPr>
          <w:rFonts w:ascii="宋体" w:hAnsi="宋体" w:eastAsia="宋体" w:cs="宋体"/>
          <w:color w:val="auto"/>
          <w:sz w:val="24"/>
          <w:szCs w:val="24"/>
        </w:rPr>
        <w:t>致</w:t>
      </w:r>
      <w:r>
        <w:rPr>
          <w:rFonts w:hint="eastAsia" w:ascii="宋体" w:hAnsi="宋体" w:eastAsia="宋体" w:cs="宋体"/>
          <w:color w:val="auto"/>
          <w:sz w:val="24"/>
          <w:szCs w:val="24"/>
          <w:lang w:eastAsia="zh-CN"/>
        </w:rPr>
        <w:t>泰兴市</w:t>
      </w:r>
      <w:r>
        <w:rPr>
          <w:rFonts w:hint="eastAsia" w:ascii="宋体" w:hAnsi="宋体" w:eastAsia="宋体" w:cs="宋体"/>
          <w:color w:val="auto"/>
          <w:sz w:val="24"/>
          <w:szCs w:val="24"/>
          <w:lang w:val="en-US" w:eastAsia="zh-CN"/>
        </w:rPr>
        <w:t>第二人民医院</w:t>
      </w:r>
      <w:r>
        <w:rPr>
          <w:rFonts w:ascii="宋体" w:hAnsi="宋体" w:eastAsia="宋体" w:cs="宋体"/>
          <w:color w:val="auto"/>
          <w:sz w:val="24"/>
          <w:szCs w:val="24"/>
        </w:rPr>
        <w:t>：</w:t>
      </w:r>
    </w:p>
    <w:p w14:paraId="4AFD897E">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color w:val="auto"/>
        </w:rPr>
      </w:pPr>
      <w:r>
        <w:rPr>
          <w:rFonts w:ascii="宋体" w:hAnsi="宋体" w:eastAsia="宋体" w:cs="宋体"/>
          <w:color w:val="auto"/>
          <w:sz w:val="24"/>
          <w:szCs w:val="24"/>
        </w:rPr>
        <w:t> </w:t>
      </w:r>
    </w:p>
    <w:p w14:paraId="1308BC83">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color w:val="auto"/>
        </w:rPr>
      </w:pPr>
      <w:r>
        <w:rPr>
          <w:rFonts w:ascii="宋体" w:hAnsi="宋体" w:eastAsia="宋体" w:cs="宋体"/>
          <w:color w:val="auto"/>
          <w:sz w:val="24"/>
          <w:szCs w:val="24"/>
        </w:rPr>
        <w:t>我方收到贵方编号       招标文件，经仔细阅读和研究，我方决定参加此项目的投标。</w:t>
      </w:r>
    </w:p>
    <w:p w14:paraId="0673F71F">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841"/>
          <w:tab w:val="left" w:pos="946"/>
          <w:tab w:val="left" w:pos="1051"/>
          <w:tab w:val="left" w:pos="1261"/>
        </w:tabs>
        <w:spacing w:before="0" w:beforeAutospacing="0" w:after="0" w:afterAutospacing="0" w:line="85" w:lineRule="atLeast"/>
        <w:jc w:val="both"/>
        <w:rPr>
          <w:color w:val="auto"/>
        </w:rPr>
      </w:pPr>
      <w:r>
        <w:rPr>
          <w:rFonts w:hint="eastAsia" w:ascii="宋体" w:hAnsi="宋体" w:eastAsia="宋体" w:cs="宋体"/>
          <w:color w:val="auto"/>
          <w:sz w:val="24"/>
          <w:szCs w:val="24"/>
          <w:lang w:val="en-US" w:eastAsia="zh-CN"/>
        </w:rPr>
        <w:t>1.</w:t>
      </w:r>
      <w:r>
        <w:rPr>
          <w:rFonts w:ascii="宋体" w:hAnsi="宋体" w:eastAsia="宋体" w:cs="宋体"/>
          <w:color w:val="auto"/>
          <w:sz w:val="24"/>
          <w:szCs w:val="24"/>
        </w:rPr>
        <w:t>我方愿意按照招标文件的一切要求，提供本项目的投标，投标总价见《开标一览表》。</w:t>
      </w:r>
    </w:p>
    <w:p w14:paraId="7FDBB01E">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841"/>
          <w:tab w:val="left" w:pos="946"/>
          <w:tab w:val="left" w:pos="1051"/>
        </w:tabs>
        <w:spacing w:before="0" w:beforeAutospacing="0" w:after="0" w:afterAutospacing="0" w:line="85" w:lineRule="atLeast"/>
        <w:jc w:val="both"/>
        <w:rPr>
          <w:color w:val="auto"/>
        </w:rPr>
      </w:pP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我方愿意提供</w:t>
      </w:r>
      <w:r>
        <w:rPr>
          <w:rFonts w:hint="eastAsia" w:ascii="宋体" w:hAnsi="宋体" w:eastAsia="宋体" w:cs="宋体"/>
          <w:color w:val="auto"/>
          <w:sz w:val="24"/>
          <w:szCs w:val="24"/>
          <w:lang w:eastAsia="zh-CN"/>
        </w:rPr>
        <w:t>泰兴市</w:t>
      </w:r>
      <w:r>
        <w:rPr>
          <w:rFonts w:hint="eastAsia" w:ascii="宋体" w:hAnsi="宋体" w:eastAsia="宋体" w:cs="宋体"/>
          <w:color w:val="auto"/>
          <w:sz w:val="24"/>
          <w:szCs w:val="24"/>
          <w:lang w:val="en-US" w:eastAsia="zh-CN"/>
        </w:rPr>
        <w:t>第二人民医院</w:t>
      </w:r>
      <w:r>
        <w:rPr>
          <w:rFonts w:ascii="宋体" w:hAnsi="宋体" w:eastAsia="宋体" w:cs="宋体"/>
          <w:color w:val="auto"/>
          <w:sz w:val="24"/>
          <w:szCs w:val="24"/>
        </w:rPr>
        <w:t>在招标文件中要求的文件、资料。</w:t>
      </w:r>
    </w:p>
    <w:p w14:paraId="672DB9C4">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946"/>
          <w:tab w:val="left" w:pos="1051"/>
        </w:tabs>
        <w:spacing w:before="0" w:beforeAutospacing="0" w:after="0" w:afterAutospacing="0" w:line="85" w:lineRule="atLeast"/>
        <w:jc w:val="both"/>
        <w:rPr>
          <w:color w:val="auto"/>
        </w:rPr>
      </w:pPr>
      <w:r>
        <w:rPr>
          <w:rFonts w:hint="eastAsia" w:ascii="宋体" w:hAnsi="宋体" w:eastAsia="宋体" w:cs="宋体"/>
          <w:color w:val="auto"/>
          <w:sz w:val="24"/>
          <w:szCs w:val="24"/>
          <w:lang w:val="en-US" w:eastAsia="zh-CN"/>
        </w:rPr>
        <w:t>3.</w:t>
      </w:r>
      <w:r>
        <w:rPr>
          <w:rFonts w:ascii="宋体" w:hAnsi="宋体" w:eastAsia="宋体" w:cs="宋体"/>
          <w:color w:val="auto"/>
          <w:sz w:val="24"/>
          <w:szCs w:val="24"/>
        </w:rPr>
        <w:t>我方同意按招标文件中的规定，本投标文件投标的有效期限为开标之日起</w:t>
      </w:r>
      <w:r>
        <w:rPr>
          <w:rFonts w:hint="eastAsia" w:cs="宋体"/>
          <w:color w:val="auto"/>
          <w:sz w:val="24"/>
          <w:szCs w:val="24"/>
          <w:lang w:val="en-US" w:eastAsia="zh-CN"/>
        </w:rPr>
        <w:t>60</w:t>
      </w:r>
      <w:r>
        <w:rPr>
          <w:rFonts w:ascii="宋体" w:hAnsi="宋体" w:eastAsia="宋体" w:cs="宋体"/>
          <w:color w:val="auto"/>
          <w:sz w:val="24"/>
          <w:szCs w:val="24"/>
        </w:rPr>
        <w:t>天。</w:t>
      </w:r>
    </w:p>
    <w:p w14:paraId="36293F5E">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946"/>
          <w:tab w:val="left" w:pos="1051"/>
        </w:tabs>
        <w:spacing w:before="0" w:beforeAutospacing="0" w:after="0" w:afterAutospacing="0" w:line="85" w:lineRule="atLeast"/>
        <w:jc w:val="both"/>
        <w:rPr>
          <w:color w:val="auto"/>
        </w:rPr>
      </w:pPr>
      <w:r>
        <w:rPr>
          <w:rFonts w:ascii="宋体" w:hAnsi="宋体" w:eastAsia="宋体" w:cs="宋体"/>
          <w:color w:val="auto"/>
          <w:sz w:val="24"/>
          <w:szCs w:val="24"/>
        </w:rPr>
        <w:t>如果我方的投标文件被接受，我方将履行招标文件中规定的每一项要求，按期、按质、按量，完成交货任务。</w:t>
      </w:r>
    </w:p>
    <w:p w14:paraId="03D4B093">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946"/>
          <w:tab w:val="left" w:pos="1051"/>
        </w:tabs>
        <w:spacing w:before="0" w:beforeAutospacing="0" w:after="0" w:afterAutospacing="0" w:line="85" w:lineRule="atLeast"/>
        <w:jc w:val="both"/>
        <w:rPr>
          <w:color w:val="auto"/>
        </w:rPr>
      </w:pP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我方认为贵中心有权决定中标者。</w:t>
      </w:r>
    </w:p>
    <w:p w14:paraId="68D3DF84">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946"/>
          <w:tab w:val="left" w:pos="1051"/>
        </w:tabs>
        <w:spacing w:before="0" w:beforeAutospacing="0" w:after="0" w:afterAutospacing="0" w:line="85" w:lineRule="atLeast"/>
        <w:jc w:val="both"/>
        <w:rPr>
          <w:color w:val="auto"/>
        </w:rPr>
      </w:pPr>
      <w:r>
        <w:rPr>
          <w:rFonts w:hint="eastAsia" w:ascii="宋体" w:hAnsi="宋体" w:eastAsia="宋体" w:cs="宋体"/>
          <w:color w:val="auto"/>
          <w:sz w:val="24"/>
          <w:szCs w:val="24"/>
          <w:lang w:val="en-US" w:eastAsia="zh-CN"/>
        </w:rPr>
        <w:t>5.</w:t>
      </w:r>
      <w:r>
        <w:rPr>
          <w:rFonts w:ascii="宋体" w:hAnsi="宋体" w:eastAsia="宋体" w:cs="宋体"/>
          <w:color w:val="auto"/>
          <w:sz w:val="24"/>
          <w:szCs w:val="24"/>
        </w:rPr>
        <w:t>我方愿意遵守《中华人民共和国政府采购法》，并按《民法典》、财政部《政府采购货物和服务招标投标管理办法》和合同条款履行自己的全部责任。</w:t>
      </w:r>
    </w:p>
    <w:p w14:paraId="75D4B015">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946"/>
          <w:tab w:val="left" w:pos="1051"/>
        </w:tabs>
        <w:spacing w:before="0" w:beforeAutospacing="0" w:after="0" w:afterAutospacing="0" w:line="85" w:lineRule="atLeast"/>
        <w:jc w:val="both"/>
        <w:rPr>
          <w:color w:val="auto"/>
        </w:rPr>
      </w:pPr>
      <w:r>
        <w:rPr>
          <w:rFonts w:hint="eastAsia" w:ascii="宋体" w:hAnsi="宋体" w:eastAsia="宋体" w:cs="宋体"/>
          <w:color w:val="auto"/>
          <w:sz w:val="24"/>
          <w:szCs w:val="24"/>
          <w:lang w:val="en-US" w:eastAsia="zh-CN"/>
        </w:rPr>
        <w:t>6.</w:t>
      </w:r>
      <w:r>
        <w:rPr>
          <w:rFonts w:ascii="宋体" w:hAnsi="宋体" w:eastAsia="宋体" w:cs="宋体"/>
          <w:color w:val="auto"/>
          <w:sz w:val="24"/>
          <w:szCs w:val="24"/>
        </w:rPr>
        <w:t>我方认可并遵守招标文件的所有规定，放弃对招标文件提出质疑的权利。</w:t>
      </w:r>
    </w:p>
    <w:p w14:paraId="05B2342E">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946"/>
          <w:tab w:val="left" w:pos="1051"/>
        </w:tabs>
        <w:spacing w:before="0" w:beforeAutospacing="0" w:after="0" w:afterAutospacing="0" w:line="85" w:lineRule="atLeast"/>
        <w:jc w:val="both"/>
        <w:rPr>
          <w:color w:val="auto"/>
        </w:rPr>
      </w:pPr>
      <w:r>
        <w:rPr>
          <w:rFonts w:hint="eastAsia" w:ascii="宋体" w:hAnsi="宋体" w:eastAsia="宋体" w:cs="宋体"/>
          <w:color w:val="auto"/>
          <w:sz w:val="24"/>
          <w:szCs w:val="24"/>
          <w:lang w:val="en-US" w:eastAsia="zh-CN"/>
        </w:rPr>
        <w:t>7.</w:t>
      </w:r>
      <w:r>
        <w:rPr>
          <w:rFonts w:ascii="宋体" w:hAnsi="宋体" w:eastAsia="宋体" w:cs="宋体"/>
          <w:color w:val="auto"/>
          <w:sz w:val="24"/>
          <w:szCs w:val="24"/>
        </w:rPr>
        <w:t>如果我方被确定为中标供应商，我方愿意在在合同签订前向采购人交纳不超过政府采购合同金额10%的履约保证金。且我方如无不可抗力，又未履行招标文件、投标文件和合同条款的，一经查实，我方愿意赔偿由此而造成的一切损失，并同意接受按招标文件的相关要求对我方进行的处理。</w:t>
      </w:r>
    </w:p>
    <w:p w14:paraId="6A46DF20">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15"/>
          <w:tab w:val="left" w:pos="525"/>
          <w:tab w:val="left" w:pos="946"/>
          <w:tab w:val="left" w:pos="1051"/>
        </w:tabs>
        <w:spacing w:before="0" w:beforeAutospacing="0" w:after="0" w:afterAutospacing="0" w:line="85" w:lineRule="atLeast"/>
        <w:jc w:val="both"/>
        <w:rPr>
          <w:color w:val="auto"/>
        </w:rPr>
      </w:pPr>
      <w:r>
        <w:rPr>
          <w:rFonts w:hint="eastAsia" w:ascii="宋体" w:hAnsi="宋体" w:eastAsia="宋体" w:cs="宋体"/>
          <w:color w:val="auto"/>
          <w:sz w:val="24"/>
          <w:szCs w:val="24"/>
          <w:lang w:val="en-US" w:eastAsia="zh-CN"/>
        </w:rPr>
        <w:t>8.</w:t>
      </w:r>
      <w:r>
        <w:rPr>
          <w:rFonts w:ascii="宋体" w:hAnsi="宋体" w:eastAsia="宋体" w:cs="宋体"/>
          <w:color w:val="auto"/>
          <w:sz w:val="24"/>
          <w:szCs w:val="24"/>
        </w:rPr>
        <w:t>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0784DD2E">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720"/>
        <w:jc w:val="both"/>
        <w:rPr>
          <w:rFonts w:ascii="宋体" w:hAnsi="宋体" w:eastAsia="宋体" w:cs="宋体"/>
          <w:color w:val="auto"/>
          <w:sz w:val="24"/>
          <w:szCs w:val="24"/>
        </w:rPr>
      </w:pPr>
    </w:p>
    <w:p w14:paraId="1DA4845E">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720"/>
        <w:jc w:val="both"/>
        <w:rPr>
          <w:color w:val="auto"/>
        </w:rPr>
      </w:pPr>
      <w:r>
        <w:rPr>
          <w:rFonts w:ascii="宋体" w:hAnsi="宋体" w:eastAsia="宋体" w:cs="宋体"/>
          <w:color w:val="auto"/>
          <w:sz w:val="24"/>
          <w:szCs w:val="24"/>
        </w:rPr>
        <w:t> </w:t>
      </w:r>
    </w:p>
    <w:p w14:paraId="0E946FCE">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color w:val="auto"/>
        </w:rPr>
      </w:pPr>
      <w:r>
        <w:rPr>
          <w:rFonts w:ascii="宋体" w:hAnsi="宋体" w:eastAsia="宋体" w:cs="宋体"/>
          <w:color w:val="auto"/>
          <w:sz w:val="24"/>
          <w:szCs w:val="24"/>
        </w:rPr>
        <w:t xml:space="preserve">投标人（盖章）：     </w:t>
      </w:r>
    </w:p>
    <w:p w14:paraId="1589AD57">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color w:val="auto"/>
        </w:rPr>
      </w:pPr>
      <w:r>
        <w:rPr>
          <w:rFonts w:ascii="宋体" w:hAnsi="宋体" w:eastAsia="宋体" w:cs="宋体"/>
          <w:color w:val="auto"/>
          <w:sz w:val="24"/>
          <w:szCs w:val="24"/>
        </w:rPr>
        <w:t>法定代表人或法定代表人授权代表签字或盖章：</w:t>
      </w:r>
    </w:p>
    <w:p w14:paraId="502638FF">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color w:val="auto"/>
        </w:rPr>
      </w:pPr>
      <w:r>
        <w:rPr>
          <w:rFonts w:ascii="宋体" w:hAnsi="宋体" w:eastAsia="宋体" w:cs="宋体"/>
          <w:color w:val="auto"/>
          <w:sz w:val="24"/>
          <w:szCs w:val="24"/>
        </w:rPr>
        <w:t>电话：                              传真：</w:t>
      </w:r>
    </w:p>
    <w:p w14:paraId="27B6831C">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color w:val="auto"/>
        </w:rPr>
      </w:pPr>
      <w:r>
        <w:rPr>
          <w:rFonts w:ascii="宋体" w:hAnsi="宋体" w:eastAsia="宋体" w:cs="宋体"/>
          <w:color w:val="auto"/>
          <w:sz w:val="24"/>
          <w:szCs w:val="24"/>
        </w:rPr>
        <w:t>通讯地址：                          邮编：</w:t>
      </w:r>
    </w:p>
    <w:p w14:paraId="586B502B">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ind w:left="0" w:firstLine="480"/>
        <w:jc w:val="both"/>
        <w:rPr>
          <w:color w:val="auto"/>
        </w:rPr>
      </w:pPr>
      <w:r>
        <w:rPr>
          <w:rFonts w:ascii="宋体" w:hAnsi="宋体" w:eastAsia="宋体" w:cs="宋体"/>
          <w:color w:val="auto"/>
          <w:sz w:val="24"/>
          <w:szCs w:val="24"/>
        </w:rPr>
        <w:t> </w:t>
      </w:r>
    </w:p>
    <w:p w14:paraId="0F59988F">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rFonts w:ascii="黑体" w:hAnsi="宋体" w:eastAsia="黑体" w:cs="黑体"/>
          <w:color w:val="auto"/>
          <w:sz w:val="24"/>
          <w:szCs w:val="24"/>
        </w:rPr>
        <w:sectPr>
          <w:pgSz w:w="11906" w:h="16838"/>
          <w:pgMar w:top="1213" w:right="1558" w:bottom="1157" w:left="1701" w:header="851" w:footer="992" w:gutter="0"/>
          <w:cols w:space="425" w:num="1"/>
          <w:docGrid w:type="lines" w:linePitch="312" w:charSpace="0"/>
        </w:sectPr>
      </w:pPr>
    </w:p>
    <w:p w14:paraId="59CFB3C0">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rPr>
          <w:color w:val="auto"/>
        </w:rPr>
      </w:pPr>
      <w:r>
        <w:rPr>
          <w:rFonts w:ascii="黑体" w:hAnsi="宋体" w:eastAsia="黑体" w:cs="黑体"/>
          <w:color w:val="auto"/>
          <w:sz w:val="24"/>
          <w:szCs w:val="24"/>
        </w:rPr>
        <w:t>             </w:t>
      </w:r>
    </w:p>
    <w:p w14:paraId="2E1C2E4E">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Theme="majorEastAsia" w:hAnsiTheme="majorEastAsia" w:eastAsiaTheme="majorEastAsia" w:cstheme="majorEastAsia"/>
          <w:color w:val="auto"/>
          <w:sz w:val="28"/>
          <w:szCs w:val="28"/>
          <w:highlight w:val="none"/>
        </w:rPr>
      </w:pPr>
      <w:r>
        <w:rPr>
          <w:rFonts w:ascii="Calibri" w:hAnsi="Calibri" w:cs="Calibri"/>
          <w:color w:val="auto"/>
          <w:sz w:val="21"/>
          <w:szCs w:val="21"/>
        </w:rPr>
        <w:t> </w:t>
      </w:r>
    </w:p>
    <w:p w14:paraId="2141134B">
      <w:pPr>
        <w:rPr>
          <w:rFonts w:hint="eastAsia" w:ascii="宋体" w:hAnsi="宋体"/>
          <w:b/>
          <w:color w:val="auto"/>
          <w:szCs w:val="21"/>
          <w:highlight w:val="none"/>
          <w:lang w:val="zh-CN"/>
        </w:rPr>
      </w:pPr>
      <w:r>
        <w:rPr>
          <w:rFonts w:hint="eastAsia" w:ascii="宋体" w:hAnsi="宋体"/>
          <w:b/>
          <w:color w:val="auto"/>
          <w:szCs w:val="21"/>
          <w:highlight w:val="none"/>
        </w:rPr>
        <w:t>3.4投标报价明细表</w:t>
      </w:r>
      <w:r>
        <w:rPr>
          <w:rFonts w:hint="eastAsia" w:ascii="宋体" w:hAnsi="宋体"/>
          <w:b/>
          <w:color w:val="auto"/>
          <w:szCs w:val="21"/>
          <w:highlight w:val="none"/>
          <w:lang w:val="zh-CN"/>
        </w:rPr>
        <w:t>格式</w:t>
      </w:r>
    </w:p>
    <w:p w14:paraId="446DCDF8">
      <w:pPr>
        <w:spacing w:line="360" w:lineRule="auto"/>
        <w:ind w:firstLine="2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投标报价明细表</w:t>
      </w:r>
    </w:p>
    <w:p w14:paraId="7AAC4880">
      <w:pPr>
        <w:widowControl/>
        <w:jc w:val="left"/>
        <w:rPr>
          <w:rFonts w:hint="eastAsia" w:asciiTheme="majorEastAsia" w:hAnsiTheme="majorEastAsia" w:eastAsiaTheme="majorEastAsia" w:cstheme="majorEastAsia"/>
          <w:b/>
          <w:color w:val="auto"/>
          <w:highlight w:val="none"/>
        </w:rPr>
      </w:pPr>
      <w:r>
        <w:rPr>
          <w:rFonts w:hint="eastAsia" w:ascii="仿宋_GB2312" w:hAnsi="仿宋_GB2312" w:eastAsia="仿宋_GB2312" w:cs="仿宋_GB2312"/>
          <w:color w:val="auto"/>
          <w:sz w:val="28"/>
          <w:szCs w:val="28"/>
        </w:rPr>
        <w:t>按“江苏省政府采购管理交易系统（苏采云）”中格式填写。</w:t>
      </w:r>
      <w:r>
        <w:rPr>
          <w:rFonts w:hint="eastAsia" w:asciiTheme="majorEastAsia" w:hAnsiTheme="majorEastAsia" w:eastAsiaTheme="majorEastAsia" w:cstheme="majorEastAsia"/>
          <w:b/>
          <w:color w:val="auto"/>
          <w:highlight w:val="none"/>
        </w:rPr>
        <w:br w:type="page"/>
      </w:r>
    </w:p>
    <w:p w14:paraId="606705AE">
      <w:pPr>
        <w:widowControl/>
        <w:spacing w:line="500" w:lineRule="exact"/>
        <w:jc w:val="lef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3.5</w:t>
      </w:r>
      <w:r>
        <w:rPr>
          <w:rFonts w:hint="eastAsia" w:asciiTheme="majorEastAsia" w:hAnsiTheme="majorEastAsia" w:eastAsiaTheme="majorEastAsia" w:cstheme="majorEastAsia"/>
          <w:color w:val="auto"/>
          <w:highlight w:val="none"/>
        </w:rPr>
        <w:t>供应商</w:t>
      </w:r>
      <w:r>
        <w:rPr>
          <w:rFonts w:hint="eastAsia" w:asciiTheme="majorEastAsia" w:hAnsiTheme="majorEastAsia" w:eastAsiaTheme="majorEastAsia" w:cstheme="majorEastAsia"/>
          <w:b/>
          <w:color w:val="auto"/>
          <w:highlight w:val="none"/>
        </w:rPr>
        <w:t>资格条件证明文件</w:t>
      </w:r>
    </w:p>
    <w:p w14:paraId="3512E643">
      <w:pPr>
        <w:pStyle w:val="8"/>
        <w:spacing w:line="50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w:t>
      </w:r>
      <w:r>
        <w:rPr>
          <w:rFonts w:hint="eastAsia" w:asciiTheme="majorEastAsia" w:hAnsiTheme="majorEastAsia" w:eastAsiaTheme="majorEastAsia" w:cstheme="majorEastAsia"/>
          <w:color w:val="auto"/>
          <w:sz w:val="24"/>
          <w:szCs w:val="24"/>
          <w:highlight w:val="none"/>
        </w:rPr>
        <w:t>供应商</w:t>
      </w:r>
      <w:r>
        <w:rPr>
          <w:rFonts w:hint="eastAsia" w:asciiTheme="majorEastAsia" w:hAnsiTheme="majorEastAsia" w:eastAsiaTheme="majorEastAsia" w:cstheme="majorEastAsia"/>
          <w:b/>
          <w:color w:val="auto"/>
          <w:sz w:val="24"/>
          <w:szCs w:val="24"/>
          <w:highlight w:val="none"/>
        </w:rPr>
        <w:t>基本资格条件承诺函</w:t>
      </w:r>
    </w:p>
    <w:p w14:paraId="642A3160">
      <w:pPr>
        <w:pStyle w:val="8"/>
        <w:spacing w:line="500" w:lineRule="exact"/>
        <w:jc w:val="center"/>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供应商</w:t>
      </w:r>
      <w:r>
        <w:rPr>
          <w:rFonts w:hint="eastAsia" w:asciiTheme="majorEastAsia" w:hAnsiTheme="majorEastAsia" w:eastAsiaTheme="majorEastAsia" w:cstheme="majorEastAsia"/>
          <w:b/>
          <w:color w:val="auto"/>
          <w:sz w:val="24"/>
          <w:szCs w:val="24"/>
          <w:highlight w:val="none"/>
        </w:rPr>
        <w:t>基本资格条件承诺函</w:t>
      </w:r>
    </w:p>
    <w:p w14:paraId="0E78316D">
      <w:pPr>
        <w:adjustRightInd w:val="0"/>
        <w:snapToGrid w:val="0"/>
        <w:spacing w:line="50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一、按照《政府采购法》第二十二条规定的供应商基本资格条件，我公司郑重承诺如下：</w:t>
      </w:r>
    </w:p>
    <w:p w14:paraId="0E5FF18A">
      <w:pPr>
        <w:pStyle w:val="8"/>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shd w:val="clear" w:color="auto" w:fill="FFFFFF"/>
        </w:rPr>
      </w:pPr>
      <w:r>
        <w:rPr>
          <w:rFonts w:hint="eastAsia" w:asciiTheme="majorEastAsia" w:hAnsiTheme="majorEastAsia" w:eastAsiaTheme="majorEastAsia" w:cstheme="majorEastAsia"/>
          <w:color w:val="auto"/>
          <w:sz w:val="24"/>
          <w:szCs w:val="24"/>
          <w:highlight w:val="none"/>
        </w:rPr>
        <w:t>1.我公司具有</w:t>
      </w:r>
      <w:r>
        <w:rPr>
          <w:rFonts w:hint="eastAsia" w:asciiTheme="majorEastAsia" w:hAnsiTheme="majorEastAsia" w:eastAsiaTheme="majorEastAsia" w:cstheme="majorEastAsia"/>
          <w:color w:val="auto"/>
          <w:sz w:val="24"/>
          <w:szCs w:val="24"/>
          <w:highlight w:val="none"/>
          <w:shd w:val="clear" w:color="auto" w:fill="FFFFFF"/>
        </w:rPr>
        <w:t>良好的商业信誉和健全的财务制度；</w:t>
      </w:r>
    </w:p>
    <w:p w14:paraId="1B7D0E9D">
      <w:pPr>
        <w:pStyle w:val="8"/>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shd w:val="clear" w:color="auto" w:fill="FFFFFF"/>
        </w:rPr>
      </w:pPr>
      <w:r>
        <w:rPr>
          <w:rFonts w:hint="eastAsia" w:asciiTheme="majorEastAsia" w:hAnsiTheme="majorEastAsia" w:eastAsiaTheme="majorEastAsia" w:cstheme="majorEastAsia"/>
          <w:color w:val="auto"/>
          <w:sz w:val="24"/>
          <w:szCs w:val="24"/>
          <w:highlight w:val="none"/>
          <w:shd w:val="clear" w:color="auto" w:fill="FFFFFF"/>
        </w:rPr>
        <w:t>2.我公司具有履行合同所必须的设备和专业技术能力；</w:t>
      </w:r>
    </w:p>
    <w:p w14:paraId="43887F87">
      <w:pPr>
        <w:pStyle w:val="8"/>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shd w:val="clear" w:color="auto" w:fill="FFFFFF"/>
        </w:rPr>
      </w:pPr>
      <w:r>
        <w:rPr>
          <w:rFonts w:hint="eastAsia" w:asciiTheme="majorEastAsia" w:hAnsiTheme="majorEastAsia" w:eastAsiaTheme="majorEastAsia" w:cstheme="majorEastAsia"/>
          <w:color w:val="auto"/>
          <w:sz w:val="24"/>
          <w:szCs w:val="24"/>
          <w:highlight w:val="none"/>
          <w:shd w:val="clear" w:color="auto" w:fill="FFFFFF"/>
        </w:rPr>
        <w:t>3.我公司具有依法缴纳税收和社会保障资金的良好记录；</w:t>
      </w:r>
    </w:p>
    <w:p w14:paraId="65103B27">
      <w:pPr>
        <w:pStyle w:val="8"/>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shd w:val="clear" w:color="auto" w:fill="FFFFFF"/>
        </w:rPr>
      </w:pPr>
      <w:r>
        <w:rPr>
          <w:rFonts w:hint="eastAsia" w:asciiTheme="majorEastAsia" w:hAnsiTheme="majorEastAsia" w:eastAsiaTheme="majorEastAsia" w:cstheme="majorEastAsia"/>
          <w:color w:val="auto"/>
          <w:sz w:val="24"/>
          <w:szCs w:val="24"/>
          <w:highlight w:val="none"/>
          <w:shd w:val="clear" w:color="auto" w:fill="FFFFFF"/>
        </w:rPr>
        <w:t>4.我公司参加政府采购活动前三年内，在经营活动中没有重大违法记录；</w:t>
      </w:r>
    </w:p>
    <w:p w14:paraId="5FA71C8B">
      <w:pPr>
        <w:pStyle w:val="8"/>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shd w:val="clear" w:color="auto" w:fill="FFFFFF"/>
        </w:rPr>
      </w:pPr>
      <w:r>
        <w:rPr>
          <w:rFonts w:hint="eastAsia" w:asciiTheme="majorEastAsia" w:hAnsiTheme="majorEastAsia" w:eastAsiaTheme="majorEastAsia" w:cstheme="majorEastAsia"/>
          <w:color w:val="auto"/>
          <w:sz w:val="24"/>
          <w:szCs w:val="24"/>
          <w:highlight w:val="none"/>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Theme="majorEastAsia" w:hAnsiTheme="majorEastAsia" w:eastAsiaTheme="majorEastAsia" w:cstheme="majorEastAsia"/>
          <w:color w:val="auto"/>
          <w:sz w:val="24"/>
          <w:szCs w:val="24"/>
          <w:highlight w:val="none"/>
        </w:rPr>
        <w:t>。</w:t>
      </w:r>
    </w:p>
    <w:p w14:paraId="5F0D33BC">
      <w:pPr>
        <w:pStyle w:val="8"/>
        <w:adjustRightInd w:val="0"/>
        <w:snapToGrid w:val="0"/>
        <w:spacing w:line="500" w:lineRule="exact"/>
        <w:ind w:firstLine="480" w:firstLineChars="200"/>
        <w:rPr>
          <w:rFonts w:hint="eastAsia"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sz w:val="24"/>
          <w:szCs w:val="24"/>
          <w:highlight w:val="none"/>
          <w:shd w:val="clear" w:color="auto" w:fill="FFFFFF"/>
        </w:rPr>
        <w:t>二、</w:t>
      </w:r>
      <w:r>
        <w:rPr>
          <w:rFonts w:hint="eastAsia" w:asciiTheme="majorEastAsia" w:hAnsiTheme="majorEastAsia" w:eastAsiaTheme="majorEastAsia" w:cstheme="majorEastAsia"/>
          <w:color w:val="auto"/>
          <w:sz w:val="24"/>
          <w:szCs w:val="24"/>
          <w:highlight w:val="none"/>
        </w:rPr>
        <w:t>我公司承诺：在本次投标过程中，我公司不存在本项目招标文件第二章第1.4.3条所列情形之一。</w:t>
      </w:r>
    </w:p>
    <w:p w14:paraId="3EAEE1C5">
      <w:pPr>
        <w:adjustRightInd w:val="0"/>
        <w:snapToGrid w:val="0"/>
        <w:spacing w:before="156" w:beforeLines="50" w:line="500" w:lineRule="exact"/>
        <w:ind w:firstLine="3360" w:firstLineChars="1400"/>
        <w:rPr>
          <w:rFonts w:hint="eastAsia" w:asciiTheme="majorEastAsia" w:hAnsiTheme="majorEastAsia" w:eastAsiaTheme="majorEastAsia" w:cstheme="majorEastAsia"/>
          <w:color w:val="auto"/>
          <w:highlight w:val="none"/>
        </w:rPr>
      </w:pPr>
    </w:p>
    <w:p w14:paraId="5709540D">
      <w:pPr>
        <w:adjustRightInd w:val="0"/>
        <w:snapToGrid w:val="0"/>
        <w:spacing w:before="156" w:beforeLines="50" w:line="500" w:lineRule="exact"/>
        <w:ind w:firstLine="3360" w:firstLineChars="14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供应商名称(盖法人章)：</w:t>
      </w:r>
    </w:p>
    <w:p w14:paraId="53504735">
      <w:pPr>
        <w:adjustRightInd w:val="0"/>
        <w:snapToGrid w:val="0"/>
        <w:spacing w:before="156" w:beforeLines="50" w:line="500" w:lineRule="exact"/>
        <w:ind w:firstLine="3360" w:firstLineChars="14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法定代表人 (签字或签章)：</w:t>
      </w:r>
    </w:p>
    <w:p w14:paraId="33C33F8F">
      <w:pPr>
        <w:adjustRightInd w:val="0"/>
        <w:snapToGrid w:val="0"/>
        <w:spacing w:before="156" w:beforeLines="50" w:line="500" w:lineRule="exact"/>
        <w:ind w:firstLine="3360" w:firstLineChars="14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日期：   年  月   日</w:t>
      </w:r>
    </w:p>
    <w:p w14:paraId="52A8D7A7">
      <w:pPr>
        <w:pStyle w:val="8"/>
        <w:adjustRightInd w:val="0"/>
        <w:snapToGrid w:val="0"/>
        <w:spacing w:line="500" w:lineRule="exact"/>
        <w:rPr>
          <w:rFonts w:hint="eastAsia" w:asciiTheme="majorEastAsia" w:hAnsiTheme="majorEastAsia" w:eastAsiaTheme="majorEastAsia" w:cstheme="majorEastAsia"/>
          <w:b/>
          <w:color w:val="auto"/>
          <w:sz w:val="24"/>
          <w:szCs w:val="24"/>
          <w:highlight w:val="none"/>
        </w:rPr>
      </w:pPr>
    </w:p>
    <w:p w14:paraId="54E2C4BD">
      <w:pPr>
        <w:pStyle w:val="8"/>
        <w:adjustRightInd w:val="0"/>
        <w:snapToGrid w:val="0"/>
        <w:spacing w:line="50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（2）招标文件要求的其他资格条件及证明材料</w:t>
      </w:r>
    </w:p>
    <w:p w14:paraId="385ABD4E">
      <w:pPr>
        <w:pStyle w:val="8"/>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1.具有有效的营业执照（附证书的复印件）；</w:t>
      </w:r>
    </w:p>
    <w:p w14:paraId="003C3F56">
      <w:pPr>
        <w:pStyle w:val="8"/>
        <w:adjustRightInd w:val="0"/>
        <w:snapToGrid w:val="0"/>
        <w:spacing w:line="500" w:lineRule="exact"/>
        <w:ind w:firstLine="480" w:firstLineChars="20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2.中小企业声明函（参考格式附后）。</w:t>
      </w:r>
    </w:p>
    <w:p w14:paraId="1DBBD31C">
      <w:pPr>
        <w:widowControl/>
        <w:jc w:val="lef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br w:type="page"/>
      </w:r>
    </w:p>
    <w:p w14:paraId="09489AE7">
      <w:pPr>
        <w:widowControl/>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附件：中小企业声明函</w:t>
      </w:r>
    </w:p>
    <w:p w14:paraId="2A090E44">
      <w:pPr>
        <w:spacing w:line="440" w:lineRule="exact"/>
        <w:jc w:val="center"/>
        <w:rPr>
          <w:rFonts w:hint="eastAsia" w:asciiTheme="majorEastAsia" w:hAnsiTheme="majorEastAsia" w:eastAsiaTheme="majorEastAsia" w:cstheme="majorEastAsia"/>
          <w:bCs/>
          <w:color w:val="auto"/>
          <w:highlight w:val="none"/>
        </w:rPr>
      </w:pPr>
      <w:r>
        <w:rPr>
          <w:rFonts w:hint="eastAsia" w:asciiTheme="majorEastAsia" w:hAnsiTheme="majorEastAsia" w:eastAsiaTheme="majorEastAsia" w:cstheme="majorEastAsia"/>
          <w:bCs/>
          <w:color w:val="auto"/>
          <w:highlight w:val="none"/>
        </w:rPr>
        <w:t>中小企业声明函</w:t>
      </w:r>
    </w:p>
    <w:p w14:paraId="22B7EC06">
      <w:pPr>
        <w:spacing w:line="440" w:lineRule="exact"/>
        <w:ind w:firstLine="57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本公司（联合体）郑重声明，根据《政府采购促进中小企业发展管理办法》（财库[2020]46号）的规定，本公司（联合体）参加</w:t>
      </w:r>
      <w:r>
        <w:rPr>
          <w:rFonts w:hint="eastAsia" w:asciiTheme="majorEastAsia" w:hAnsiTheme="majorEastAsia" w:eastAsiaTheme="majorEastAsia" w:cstheme="majorEastAsia"/>
          <w:color w:val="auto"/>
          <w:highlight w:val="none"/>
          <w:u w:val="single"/>
        </w:rPr>
        <w:t xml:space="preserve"> （单位名称）      </w:t>
      </w:r>
      <w:r>
        <w:rPr>
          <w:rFonts w:hint="eastAsia" w:asciiTheme="majorEastAsia" w:hAnsiTheme="majorEastAsia" w:eastAsiaTheme="majorEastAsia" w:cstheme="majorEastAsia"/>
          <w:color w:val="auto"/>
          <w:highlight w:val="none"/>
        </w:rPr>
        <w:t>的</w:t>
      </w:r>
      <w:r>
        <w:rPr>
          <w:rFonts w:hint="eastAsia" w:asciiTheme="majorEastAsia" w:hAnsiTheme="majorEastAsia" w:eastAsiaTheme="majorEastAsia" w:cstheme="majorEastAsia"/>
          <w:color w:val="auto"/>
          <w:highlight w:val="none"/>
          <w:u w:val="single"/>
        </w:rPr>
        <w:t xml:space="preserve"> （标的名称）       </w:t>
      </w:r>
      <w:r>
        <w:rPr>
          <w:rFonts w:hint="eastAsia" w:asciiTheme="majorEastAsia" w:hAnsiTheme="majorEastAsia" w:eastAsiaTheme="majorEastAsia" w:cstheme="majorEastAsia"/>
          <w:color w:val="auto"/>
          <w:highlight w:val="none"/>
        </w:rPr>
        <w:t>采购活动，提供的货物或服务全部由符合政策要求的小微企业提供。相关企业（含联合体中的中小企业、签订分包意向协议的中小企业）的具体情况如下：</w:t>
      </w:r>
    </w:p>
    <w:p w14:paraId="5E792C4E">
      <w:pPr>
        <w:spacing w:line="440" w:lineRule="exact"/>
        <w:ind w:firstLine="480" w:firstLineChars="2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color w:val="auto"/>
          <w:highlight w:val="none"/>
          <w:u w:val="single"/>
        </w:rPr>
        <w:t xml:space="preserve"> （标的名称）        </w:t>
      </w:r>
      <w:r>
        <w:rPr>
          <w:rFonts w:hint="eastAsia" w:asciiTheme="majorEastAsia" w:hAnsiTheme="majorEastAsia" w:eastAsiaTheme="majorEastAsia" w:cstheme="majorEastAsia"/>
          <w:color w:val="auto"/>
          <w:highlight w:val="none"/>
        </w:rPr>
        <w:t>，属于</w:t>
      </w:r>
      <w:r>
        <w:rPr>
          <w:rFonts w:hint="eastAsia" w:asciiTheme="majorEastAsia" w:hAnsiTheme="majorEastAsia" w:eastAsiaTheme="majorEastAsia" w:cstheme="majorEastAsia"/>
          <w:color w:val="auto"/>
          <w:highlight w:val="none"/>
          <w:u w:val="single"/>
        </w:rPr>
        <w:t xml:space="preserve">         行业  </w:t>
      </w:r>
      <w:r>
        <w:rPr>
          <w:rFonts w:hint="eastAsia" w:asciiTheme="majorEastAsia" w:hAnsiTheme="majorEastAsia" w:eastAsiaTheme="majorEastAsia" w:cstheme="majorEastAsia"/>
          <w:color w:val="auto"/>
          <w:highlight w:val="none"/>
        </w:rPr>
        <w:t>；承建（承接）企业为</w:t>
      </w:r>
      <w:r>
        <w:rPr>
          <w:rFonts w:hint="eastAsia" w:asciiTheme="majorEastAsia" w:hAnsiTheme="majorEastAsia" w:eastAsiaTheme="majorEastAsia" w:cstheme="majorEastAsia"/>
          <w:color w:val="auto"/>
          <w:highlight w:val="none"/>
          <w:u w:val="single"/>
        </w:rPr>
        <w:t xml:space="preserve"> （企业名称）</w:t>
      </w:r>
      <w:r>
        <w:rPr>
          <w:rFonts w:hint="eastAsia" w:asciiTheme="majorEastAsia" w:hAnsiTheme="majorEastAsia" w:eastAsiaTheme="majorEastAsia" w:cstheme="majorEastAsia"/>
          <w:color w:val="auto"/>
          <w:highlight w:val="none"/>
        </w:rPr>
        <w:t>，从业人员</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人，营业收入</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万元，资产总额</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万元，属于</w:t>
      </w:r>
      <w:r>
        <w:rPr>
          <w:rFonts w:hint="eastAsia" w:asciiTheme="majorEastAsia" w:hAnsiTheme="majorEastAsia" w:eastAsiaTheme="majorEastAsia" w:cstheme="majorEastAsia"/>
          <w:color w:val="auto"/>
          <w:highlight w:val="none"/>
          <w:u w:val="single"/>
        </w:rPr>
        <w:t xml:space="preserve"> （中型企业、小型企业、微型企业）       </w:t>
      </w:r>
      <w:r>
        <w:rPr>
          <w:rFonts w:hint="eastAsia" w:asciiTheme="majorEastAsia" w:hAnsiTheme="majorEastAsia" w:eastAsiaTheme="majorEastAsia" w:cstheme="majorEastAsia"/>
          <w:color w:val="auto"/>
          <w:highlight w:val="none"/>
        </w:rPr>
        <w:t>；</w:t>
      </w:r>
    </w:p>
    <w:p w14:paraId="66FA9BBF">
      <w:pPr>
        <w:spacing w:line="440" w:lineRule="exact"/>
        <w:ind w:firstLine="480" w:firstLineChars="20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2.</w:t>
      </w:r>
      <w:r>
        <w:rPr>
          <w:rFonts w:hint="eastAsia" w:asciiTheme="majorEastAsia" w:hAnsiTheme="majorEastAsia" w:eastAsiaTheme="majorEastAsia" w:cstheme="majorEastAsia"/>
          <w:color w:val="auto"/>
          <w:highlight w:val="none"/>
          <w:u w:val="single"/>
        </w:rPr>
        <w:t xml:space="preserve">（标的名称）        </w:t>
      </w:r>
      <w:r>
        <w:rPr>
          <w:rFonts w:hint="eastAsia" w:asciiTheme="majorEastAsia" w:hAnsiTheme="majorEastAsia" w:eastAsiaTheme="majorEastAsia" w:cstheme="majorEastAsia"/>
          <w:color w:val="auto"/>
          <w:highlight w:val="none"/>
        </w:rPr>
        <w:t>，属于</w:t>
      </w:r>
      <w:r>
        <w:rPr>
          <w:rFonts w:hint="eastAsia" w:asciiTheme="majorEastAsia" w:hAnsiTheme="majorEastAsia" w:eastAsiaTheme="majorEastAsia" w:cstheme="majorEastAsia"/>
          <w:color w:val="auto"/>
          <w:highlight w:val="none"/>
          <w:u w:val="single"/>
        </w:rPr>
        <w:t xml:space="preserve">  （采购文件中明确的所属行业） </w:t>
      </w:r>
      <w:r>
        <w:rPr>
          <w:rFonts w:hint="eastAsia" w:asciiTheme="majorEastAsia" w:hAnsiTheme="majorEastAsia" w:eastAsiaTheme="majorEastAsia" w:cstheme="majorEastAsia"/>
          <w:color w:val="auto"/>
          <w:highlight w:val="none"/>
        </w:rPr>
        <w:t>；承建（承接）企业为</w:t>
      </w:r>
      <w:r>
        <w:rPr>
          <w:rFonts w:hint="eastAsia" w:asciiTheme="majorEastAsia" w:hAnsiTheme="majorEastAsia" w:eastAsiaTheme="majorEastAsia" w:cstheme="majorEastAsia"/>
          <w:color w:val="auto"/>
          <w:highlight w:val="none"/>
          <w:u w:val="single"/>
        </w:rPr>
        <w:t xml:space="preserve"> （企业名称）</w:t>
      </w:r>
      <w:r>
        <w:rPr>
          <w:rFonts w:hint="eastAsia" w:asciiTheme="majorEastAsia" w:hAnsiTheme="majorEastAsia" w:eastAsiaTheme="majorEastAsia" w:cstheme="majorEastAsia"/>
          <w:color w:val="auto"/>
          <w:highlight w:val="none"/>
        </w:rPr>
        <w:t>，从业人员</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人，营业收入</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万元，资产总额</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万元，属于</w:t>
      </w:r>
      <w:r>
        <w:rPr>
          <w:rFonts w:hint="eastAsia" w:asciiTheme="majorEastAsia" w:hAnsiTheme="majorEastAsia" w:eastAsiaTheme="majorEastAsia" w:cstheme="majorEastAsia"/>
          <w:color w:val="auto"/>
          <w:highlight w:val="none"/>
          <w:u w:val="single"/>
        </w:rPr>
        <w:t xml:space="preserve"> （中型企业、小型企业、微型企业）       </w:t>
      </w:r>
      <w:r>
        <w:rPr>
          <w:rFonts w:hint="eastAsia" w:asciiTheme="majorEastAsia" w:hAnsiTheme="majorEastAsia" w:eastAsiaTheme="majorEastAsia" w:cstheme="majorEastAsia"/>
          <w:color w:val="auto"/>
          <w:highlight w:val="none"/>
        </w:rPr>
        <w:t>；</w:t>
      </w:r>
    </w:p>
    <w:p w14:paraId="4183D633">
      <w:pPr>
        <w:pStyle w:val="40"/>
        <w:spacing w:line="440" w:lineRule="exact"/>
        <w:ind w:left="930" w:firstLine="0" w:firstLineChars="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w:t>
      </w:r>
    </w:p>
    <w:p w14:paraId="31A98C6A">
      <w:pPr>
        <w:spacing w:line="440" w:lineRule="exact"/>
        <w:ind w:firstLine="48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以上企业，不属于大企业的分支机构，不存在控股股东为大企业的情形，也不存在与大企业的负责人为同一人的情形。</w:t>
      </w:r>
    </w:p>
    <w:p w14:paraId="1D89945F">
      <w:pPr>
        <w:spacing w:line="440" w:lineRule="exact"/>
        <w:ind w:firstLine="57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本企业对上述声明内容的真实性负责。如有虚假，将依法承担相应责任。</w:t>
      </w:r>
    </w:p>
    <w:p w14:paraId="5B60FFEA">
      <w:pPr>
        <w:spacing w:line="440" w:lineRule="exact"/>
        <w:ind w:firstLine="4080" w:firstLineChars="17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企业名称（盖章）：</w:t>
      </w:r>
    </w:p>
    <w:p w14:paraId="76022EF5">
      <w:pPr>
        <w:spacing w:line="440" w:lineRule="exact"/>
        <w:ind w:firstLine="4080" w:firstLineChars="17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  期：</w:t>
      </w:r>
    </w:p>
    <w:p w14:paraId="70A9259B">
      <w:pPr>
        <w:pStyle w:val="2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right="0"/>
        <w:jc w:val="both"/>
        <w:rPr>
          <w:color w:val="auto"/>
        </w:rPr>
      </w:pPr>
      <w:r>
        <w:rPr>
          <w:rFonts w:ascii="宋体" w:hAnsi="宋体" w:eastAsia="宋体" w:cs="宋体"/>
          <w:color w:val="auto"/>
          <w:sz w:val="24"/>
          <w:szCs w:val="24"/>
        </w:rPr>
        <w:t>注：从业人员、营业收入、资产总额填报上一年度数据，无上一年度数据的新成立企业可不填报。供应商如不提供此声明函，价格将不做相应扣除。</w:t>
      </w:r>
    </w:p>
    <w:p w14:paraId="136A3C5B">
      <w:pPr>
        <w:spacing w:line="440" w:lineRule="exact"/>
        <w:ind w:firstLine="480" w:firstLineChars="200"/>
        <w:rPr>
          <w:rFonts w:hint="eastAsia" w:asciiTheme="majorEastAsia" w:hAnsiTheme="majorEastAsia" w:eastAsiaTheme="majorEastAsia" w:cstheme="majorEastAsia"/>
          <w:color w:val="auto"/>
          <w:highlight w:val="none"/>
        </w:rPr>
      </w:pPr>
    </w:p>
    <w:p w14:paraId="66F66E29">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br w:type="page"/>
      </w:r>
    </w:p>
    <w:p w14:paraId="261BB414">
      <w:pPr>
        <w:widowControl/>
        <w:spacing w:line="440" w:lineRule="exact"/>
        <w:jc w:val="lef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3.5投标偏离表（格式自拟）</w:t>
      </w:r>
    </w:p>
    <w:p w14:paraId="054920E4">
      <w:pPr>
        <w:pStyle w:val="22"/>
        <w:widowControl/>
        <w:spacing w:before="0" w:after="0"/>
        <w:ind w:firstLine="490"/>
        <w:jc w:val="center"/>
        <w:rPr>
          <w:rFonts w:eastAsia="黑体"/>
          <w:color w:val="auto"/>
          <w:highlight w:val="none"/>
        </w:rPr>
      </w:pPr>
      <w:r>
        <w:rPr>
          <w:rFonts w:ascii="黑体" w:eastAsia="黑体" w:cs="黑体"/>
          <w:color w:val="auto"/>
          <w:sz w:val="28"/>
          <w:szCs w:val="28"/>
          <w:highlight w:val="none"/>
        </w:rPr>
        <w:t>投标偏离表</w:t>
      </w:r>
    </w:p>
    <w:p w14:paraId="730ECD61">
      <w:pPr>
        <w:pStyle w:val="22"/>
        <w:widowControl/>
        <w:spacing w:before="0" w:after="0" w:line="400" w:lineRule="atLeast"/>
        <w:jc w:val="center"/>
        <w:rPr>
          <w:color w:val="auto"/>
          <w:highlight w:val="none"/>
        </w:rPr>
      </w:pPr>
      <w:r>
        <w:rPr>
          <w:rFonts w:ascii="黑体" w:eastAsia="黑体" w:cs="黑体"/>
          <w:color w:val="auto"/>
          <w:sz w:val="28"/>
          <w:szCs w:val="28"/>
          <w:highlight w:val="none"/>
        </w:rPr>
        <w:t> </w:t>
      </w:r>
    </w:p>
    <w:p w14:paraId="632AD9E2">
      <w:pPr>
        <w:pStyle w:val="22"/>
        <w:widowControl/>
        <w:spacing w:before="0" w:after="0" w:line="400" w:lineRule="atLeast"/>
        <w:jc w:val="center"/>
        <w:rPr>
          <w:color w:val="auto"/>
          <w:highlight w:val="none"/>
        </w:rPr>
      </w:pPr>
      <w:r>
        <w:rPr>
          <w:rFonts w:ascii="黑体" w:eastAsia="黑体" w:cs="黑体"/>
          <w:color w:val="auto"/>
          <w:sz w:val="28"/>
          <w:szCs w:val="28"/>
          <w:highlight w:val="none"/>
        </w:rPr>
        <w:t> </w:t>
      </w:r>
    </w:p>
    <w:p w14:paraId="75EAD566">
      <w:pPr>
        <w:pStyle w:val="22"/>
        <w:widowControl/>
        <w:spacing w:before="0" w:after="0" w:line="400" w:lineRule="atLeast"/>
        <w:jc w:val="both"/>
        <w:rPr>
          <w:color w:val="auto"/>
          <w:highlight w:val="none"/>
        </w:rPr>
      </w:pPr>
      <w:r>
        <w:rPr>
          <w:rFonts w:ascii="黑体" w:eastAsia="黑体" w:cs="黑体"/>
          <w:color w:val="auto"/>
          <w:highlight w:val="none"/>
        </w:rPr>
        <w:t>供应商名称（盖章）                  采购项目编号：</w:t>
      </w:r>
    </w:p>
    <w:p w14:paraId="79AC9121">
      <w:pPr>
        <w:pStyle w:val="22"/>
        <w:widowControl/>
        <w:spacing w:before="0" w:after="0" w:line="400" w:lineRule="atLeast"/>
        <w:jc w:val="both"/>
        <w:rPr>
          <w:color w:val="auto"/>
          <w:highlight w:val="none"/>
        </w:rPr>
      </w:pPr>
      <w:r>
        <w:rPr>
          <w:rFonts w:ascii="黑体" w:eastAsia="黑体" w:cs="黑体"/>
          <w:color w:val="auto"/>
          <w:highlight w:val="none"/>
        </w:rPr>
        <w:t> </w:t>
      </w:r>
    </w:p>
    <w:tbl>
      <w:tblPr>
        <w:tblStyle w:val="26"/>
        <w:tblW w:w="0" w:type="auto"/>
        <w:tblCellSpacing w:w="0" w:type="dxa"/>
        <w:tblInd w:w="20" w:type="dxa"/>
        <w:tblLayout w:type="autofit"/>
        <w:tblCellMar>
          <w:top w:w="0" w:type="dxa"/>
          <w:left w:w="108" w:type="dxa"/>
          <w:bottom w:w="0" w:type="dxa"/>
          <w:right w:w="108" w:type="dxa"/>
        </w:tblCellMar>
      </w:tblPr>
      <w:tblGrid>
        <w:gridCol w:w="1681"/>
        <w:gridCol w:w="2486"/>
        <w:gridCol w:w="2486"/>
        <w:gridCol w:w="2029"/>
      </w:tblGrid>
      <w:tr w14:paraId="1803444D">
        <w:tblPrEx>
          <w:tblCellMar>
            <w:top w:w="0" w:type="dxa"/>
            <w:left w:w="108" w:type="dxa"/>
            <w:bottom w:w="0" w:type="dxa"/>
            <w:right w:w="108" w:type="dxa"/>
          </w:tblCellMar>
        </w:tblPrEx>
        <w:trPr>
          <w:trHeight w:val="555" w:hRule="atLeast"/>
          <w:tblCellSpacing w:w="0" w:type="dxa"/>
        </w:trPr>
        <w:tc>
          <w:tcPr>
            <w:tcW w:w="180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538B3703">
            <w:pPr>
              <w:pStyle w:val="22"/>
              <w:widowControl/>
              <w:spacing w:before="0" w:after="0"/>
              <w:jc w:val="center"/>
              <w:rPr>
                <w:color w:val="auto"/>
                <w:highlight w:val="none"/>
              </w:rPr>
            </w:pPr>
            <w:r>
              <w:rPr>
                <w:rFonts w:cs="宋体"/>
                <w:b/>
                <w:bCs/>
                <w:color w:val="auto"/>
                <w:highlight w:val="none"/>
              </w:rPr>
              <w:t>名称</w:t>
            </w:r>
          </w:p>
        </w:tc>
        <w:tc>
          <w:tcPr>
            <w:tcW w:w="2683" w:type="dxa"/>
            <w:tcBorders>
              <w:top w:val="single" w:color="000000" w:sz="8" w:space="0"/>
              <w:left w:val="nil"/>
              <w:bottom w:val="single" w:color="000000" w:sz="8" w:space="0"/>
              <w:right w:val="single" w:color="000000" w:sz="8" w:space="0"/>
            </w:tcBorders>
            <w:shd w:val="clear" w:color="auto" w:fill="auto"/>
            <w:tcMar>
              <w:left w:w="0" w:type="dxa"/>
              <w:right w:w="0" w:type="dxa"/>
            </w:tcMar>
            <w:vAlign w:val="center"/>
          </w:tcPr>
          <w:p w14:paraId="15C4164C">
            <w:pPr>
              <w:pStyle w:val="22"/>
              <w:widowControl/>
              <w:spacing w:before="0" w:after="0"/>
              <w:jc w:val="center"/>
              <w:rPr>
                <w:color w:val="auto"/>
                <w:highlight w:val="none"/>
              </w:rPr>
            </w:pPr>
            <w:r>
              <w:rPr>
                <w:rFonts w:cs="宋体"/>
                <w:b/>
                <w:bCs/>
                <w:color w:val="auto"/>
                <w:highlight w:val="none"/>
              </w:rPr>
              <w:t>采购要求</w:t>
            </w:r>
          </w:p>
        </w:tc>
        <w:tc>
          <w:tcPr>
            <w:tcW w:w="2683" w:type="dxa"/>
            <w:tcBorders>
              <w:top w:val="single" w:color="000000" w:sz="8" w:space="0"/>
              <w:left w:val="nil"/>
              <w:bottom w:val="single" w:color="000000" w:sz="8" w:space="0"/>
              <w:right w:val="single" w:color="000000" w:sz="8" w:space="0"/>
            </w:tcBorders>
            <w:shd w:val="clear" w:color="auto" w:fill="auto"/>
            <w:tcMar>
              <w:left w:w="0" w:type="dxa"/>
              <w:right w:w="0" w:type="dxa"/>
            </w:tcMar>
            <w:vAlign w:val="center"/>
          </w:tcPr>
          <w:p w14:paraId="53EBC386">
            <w:pPr>
              <w:pStyle w:val="22"/>
              <w:widowControl/>
              <w:spacing w:before="0" w:after="0"/>
              <w:jc w:val="center"/>
              <w:rPr>
                <w:color w:val="auto"/>
                <w:highlight w:val="none"/>
              </w:rPr>
            </w:pPr>
            <w:r>
              <w:rPr>
                <w:rFonts w:cs="宋体"/>
                <w:b/>
                <w:bCs/>
                <w:color w:val="auto"/>
                <w:highlight w:val="none"/>
              </w:rPr>
              <w:t>实报内容</w:t>
            </w:r>
          </w:p>
        </w:tc>
        <w:tc>
          <w:tcPr>
            <w:tcW w:w="2186" w:type="dxa"/>
            <w:tcBorders>
              <w:top w:val="single" w:color="000000" w:sz="8" w:space="0"/>
              <w:left w:val="nil"/>
              <w:bottom w:val="single" w:color="000000" w:sz="8" w:space="0"/>
              <w:right w:val="single" w:color="000000" w:sz="8" w:space="0"/>
            </w:tcBorders>
            <w:shd w:val="clear" w:color="auto" w:fill="auto"/>
            <w:tcMar>
              <w:left w:w="0" w:type="dxa"/>
              <w:right w:w="0" w:type="dxa"/>
            </w:tcMar>
            <w:vAlign w:val="center"/>
          </w:tcPr>
          <w:p w14:paraId="02833993">
            <w:pPr>
              <w:pStyle w:val="22"/>
              <w:widowControl/>
              <w:spacing w:before="0" w:after="0"/>
              <w:jc w:val="center"/>
              <w:rPr>
                <w:color w:val="auto"/>
                <w:highlight w:val="none"/>
              </w:rPr>
            </w:pPr>
            <w:r>
              <w:rPr>
                <w:rFonts w:cs="宋体"/>
                <w:b/>
                <w:bCs/>
                <w:color w:val="auto"/>
                <w:highlight w:val="none"/>
              </w:rPr>
              <w:t>偏离说明</w:t>
            </w:r>
          </w:p>
        </w:tc>
      </w:tr>
      <w:tr w14:paraId="3E3A77DE">
        <w:tblPrEx>
          <w:tblCellMar>
            <w:top w:w="0" w:type="dxa"/>
            <w:left w:w="108" w:type="dxa"/>
            <w:bottom w:w="0" w:type="dxa"/>
            <w:right w:w="108" w:type="dxa"/>
          </w:tblCellMar>
        </w:tblPrEx>
        <w:trPr>
          <w:trHeight w:val="510" w:hRule="atLeast"/>
          <w:tblCellSpacing w:w="0" w:type="dxa"/>
        </w:trPr>
        <w:tc>
          <w:tcPr>
            <w:tcW w:w="1803"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10A1F8E1">
            <w:pPr>
              <w:pStyle w:val="22"/>
              <w:widowControl/>
              <w:spacing w:before="0" w:after="0"/>
              <w:jc w:val="center"/>
              <w:rPr>
                <w:color w:val="auto"/>
                <w:highlight w:val="none"/>
              </w:rPr>
            </w:pPr>
            <w:r>
              <w:rPr>
                <w:rFonts w:cs="宋体"/>
                <w:color w:val="auto"/>
                <w:sz w:val="21"/>
                <w:szCs w:val="21"/>
                <w:highlight w:val="none"/>
              </w:rPr>
              <w:t> </w:t>
            </w:r>
          </w:p>
        </w:tc>
        <w:tc>
          <w:tcPr>
            <w:tcW w:w="2683" w:type="dxa"/>
            <w:tcBorders>
              <w:top w:val="nil"/>
              <w:left w:val="nil"/>
              <w:bottom w:val="single" w:color="000000" w:sz="8" w:space="0"/>
              <w:right w:val="single" w:color="000000" w:sz="8" w:space="0"/>
            </w:tcBorders>
            <w:shd w:val="clear" w:color="auto" w:fill="auto"/>
            <w:tcMar>
              <w:left w:w="0" w:type="dxa"/>
              <w:right w:w="0" w:type="dxa"/>
            </w:tcMar>
            <w:vAlign w:val="center"/>
          </w:tcPr>
          <w:p w14:paraId="7BCA2B9A">
            <w:pPr>
              <w:pStyle w:val="22"/>
              <w:widowControl/>
              <w:spacing w:before="0" w:after="0"/>
              <w:jc w:val="both"/>
              <w:rPr>
                <w:color w:val="auto"/>
                <w:highlight w:val="none"/>
              </w:rPr>
            </w:pPr>
            <w:r>
              <w:rPr>
                <w:rFonts w:cs="宋体"/>
                <w:color w:val="auto"/>
                <w:sz w:val="21"/>
                <w:szCs w:val="21"/>
                <w:highlight w:val="none"/>
              </w:rPr>
              <w:t> </w:t>
            </w:r>
          </w:p>
        </w:tc>
        <w:tc>
          <w:tcPr>
            <w:tcW w:w="2683" w:type="dxa"/>
            <w:tcBorders>
              <w:top w:val="nil"/>
              <w:left w:val="nil"/>
              <w:bottom w:val="single" w:color="000000" w:sz="8" w:space="0"/>
              <w:right w:val="single" w:color="000000" w:sz="8" w:space="0"/>
            </w:tcBorders>
            <w:shd w:val="clear" w:color="auto" w:fill="auto"/>
            <w:tcMar>
              <w:left w:w="0" w:type="dxa"/>
              <w:right w:w="0" w:type="dxa"/>
            </w:tcMar>
            <w:vAlign w:val="center"/>
          </w:tcPr>
          <w:p w14:paraId="49EF847D">
            <w:pPr>
              <w:pStyle w:val="22"/>
              <w:widowControl/>
              <w:spacing w:before="0" w:after="0"/>
              <w:jc w:val="center"/>
              <w:rPr>
                <w:color w:val="auto"/>
                <w:highlight w:val="none"/>
              </w:rPr>
            </w:pPr>
            <w:r>
              <w:rPr>
                <w:rFonts w:cs="宋体"/>
                <w:color w:val="auto"/>
                <w:sz w:val="21"/>
                <w:szCs w:val="21"/>
                <w:highlight w:val="none"/>
              </w:rPr>
              <w:t> </w:t>
            </w:r>
          </w:p>
        </w:tc>
        <w:tc>
          <w:tcPr>
            <w:tcW w:w="2186" w:type="dxa"/>
            <w:tcBorders>
              <w:top w:val="nil"/>
              <w:left w:val="nil"/>
              <w:bottom w:val="single" w:color="000000" w:sz="8" w:space="0"/>
              <w:right w:val="single" w:color="000000" w:sz="8" w:space="0"/>
            </w:tcBorders>
            <w:shd w:val="clear" w:color="auto" w:fill="auto"/>
            <w:tcMar>
              <w:left w:w="0" w:type="dxa"/>
              <w:right w:w="0" w:type="dxa"/>
            </w:tcMar>
            <w:vAlign w:val="center"/>
          </w:tcPr>
          <w:p w14:paraId="281B96D5">
            <w:pPr>
              <w:pStyle w:val="22"/>
              <w:widowControl/>
              <w:spacing w:before="0" w:after="0"/>
              <w:jc w:val="center"/>
              <w:rPr>
                <w:color w:val="auto"/>
                <w:highlight w:val="none"/>
              </w:rPr>
            </w:pPr>
            <w:r>
              <w:rPr>
                <w:rFonts w:cs="宋体"/>
                <w:color w:val="auto"/>
                <w:sz w:val="21"/>
                <w:szCs w:val="21"/>
                <w:highlight w:val="none"/>
              </w:rPr>
              <w:t> </w:t>
            </w:r>
          </w:p>
        </w:tc>
      </w:tr>
    </w:tbl>
    <w:p w14:paraId="3A8F0795">
      <w:pPr>
        <w:pStyle w:val="22"/>
        <w:widowControl/>
        <w:spacing w:before="0" w:after="0"/>
        <w:jc w:val="both"/>
        <w:rPr>
          <w:color w:val="auto"/>
          <w:highlight w:val="none"/>
        </w:rPr>
      </w:pPr>
      <w:r>
        <w:rPr>
          <w:rFonts w:cs="宋体"/>
          <w:b/>
          <w:bCs/>
          <w:color w:val="auto"/>
          <w:highlight w:val="none"/>
        </w:rPr>
        <w:t> </w:t>
      </w:r>
    </w:p>
    <w:p w14:paraId="237E0ED2">
      <w:pPr>
        <w:pStyle w:val="22"/>
        <w:widowControl/>
        <w:spacing w:before="0" w:after="0"/>
        <w:jc w:val="both"/>
        <w:rPr>
          <w:color w:val="auto"/>
          <w:highlight w:val="none"/>
        </w:rPr>
      </w:pPr>
      <w:r>
        <w:rPr>
          <w:rFonts w:cs="宋体"/>
          <w:b/>
          <w:bCs/>
          <w:color w:val="auto"/>
          <w:highlight w:val="none"/>
        </w:rPr>
        <w:t>法定代表人或法定代表人授权代表签字或盖章：</w:t>
      </w:r>
    </w:p>
    <w:p w14:paraId="4912F3DD">
      <w:pPr>
        <w:pStyle w:val="22"/>
        <w:widowControl/>
        <w:spacing w:before="0" w:after="0"/>
        <w:jc w:val="both"/>
        <w:rPr>
          <w:color w:val="auto"/>
          <w:highlight w:val="none"/>
        </w:rPr>
      </w:pPr>
      <w:r>
        <w:rPr>
          <w:rFonts w:cs="宋体"/>
          <w:color w:val="auto"/>
          <w:sz w:val="30"/>
          <w:szCs w:val="30"/>
          <w:highlight w:val="none"/>
        </w:rPr>
        <w:t> </w:t>
      </w:r>
    </w:p>
    <w:p w14:paraId="7720C14B">
      <w:pPr>
        <w:pStyle w:val="22"/>
        <w:widowControl/>
        <w:spacing w:before="0" w:after="0"/>
        <w:ind w:firstLine="420"/>
        <w:jc w:val="both"/>
        <w:rPr>
          <w:color w:val="auto"/>
          <w:highlight w:val="none"/>
        </w:rPr>
      </w:pPr>
      <w:r>
        <w:rPr>
          <w:rFonts w:cs="宋体"/>
          <w:color w:val="auto"/>
          <w:highlight w:val="none"/>
        </w:rPr>
        <w:t>注：（1）本表不得删除；</w:t>
      </w:r>
    </w:p>
    <w:p w14:paraId="2EA97325">
      <w:pPr>
        <w:pStyle w:val="22"/>
        <w:widowControl/>
        <w:spacing w:before="0" w:after="0"/>
        <w:ind w:firstLine="420"/>
        <w:jc w:val="both"/>
        <w:rPr>
          <w:color w:val="auto"/>
          <w:highlight w:val="none"/>
        </w:rPr>
      </w:pPr>
      <w:r>
        <w:rPr>
          <w:rFonts w:cs="宋体"/>
          <w:color w:val="auto"/>
          <w:highlight w:val="none"/>
        </w:rPr>
        <w:t>   （2）如无任何技术偏离，请于本表 “偏离说明”中注明“无偏离”；</w:t>
      </w:r>
    </w:p>
    <w:p w14:paraId="5E1FEEE1">
      <w:pPr>
        <w:widowControl/>
        <w:spacing w:line="440" w:lineRule="exact"/>
        <w:jc w:val="left"/>
        <w:rPr>
          <w:rFonts w:hint="eastAsia" w:asciiTheme="majorEastAsia" w:hAnsiTheme="majorEastAsia" w:eastAsiaTheme="majorEastAsia" w:cstheme="majorEastAsia"/>
          <w:b/>
          <w:color w:val="auto"/>
          <w:highlight w:val="none"/>
        </w:rPr>
      </w:pPr>
      <w:r>
        <w:rPr>
          <w:rFonts w:ascii="宋体" w:hAnsi="宋体" w:cs="宋体"/>
          <w:color w:val="auto"/>
          <w:highlight w:val="none"/>
        </w:rPr>
        <w:t>   （3）如有技术偏离项，请于本表中列明偏离内容，如需要可自行延长，其余无偏离内容不须赘述。</w:t>
      </w:r>
    </w:p>
    <w:p w14:paraId="3701B023">
      <w:pPr>
        <w:pStyle w:val="14"/>
        <w:ind w:left="480"/>
        <w:rPr>
          <w:rFonts w:hint="eastAsia" w:asciiTheme="majorEastAsia" w:hAnsiTheme="majorEastAsia" w:eastAsiaTheme="majorEastAsia" w:cstheme="majorEastAsia"/>
          <w:b/>
          <w:color w:val="auto"/>
          <w:sz w:val="32"/>
          <w:szCs w:val="32"/>
          <w:highlight w:val="none"/>
        </w:rPr>
      </w:pPr>
    </w:p>
    <w:p w14:paraId="00C62C36">
      <w:pPr>
        <w:jc w:val="left"/>
        <w:rPr>
          <w:rFonts w:hint="eastAsia" w:ascii="宋体" w:hAnsi="宋体"/>
          <w:b/>
          <w:color w:val="auto"/>
          <w:highlight w:val="none"/>
        </w:rPr>
      </w:pPr>
    </w:p>
    <w:p w14:paraId="7D4497A1">
      <w:pPr>
        <w:jc w:val="left"/>
        <w:rPr>
          <w:rFonts w:hint="eastAsia" w:ascii="宋体" w:hAnsi="宋体"/>
          <w:b/>
          <w:color w:val="auto"/>
          <w:highlight w:val="none"/>
        </w:rPr>
      </w:pPr>
      <w:r>
        <w:rPr>
          <w:rFonts w:hint="eastAsia" w:ascii="宋体" w:hAnsi="宋体"/>
          <w:b/>
          <w:color w:val="auto"/>
          <w:highlight w:val="none"/>
        </w:rPr>
        <w:br w:type="page"/>
      </w:r>
    </w:p>
    <w:p w14:paraId="49183852">
      <w:pPr>
        <w:spacing w:before="120"/>
        <w:jc w:val="left"/>
        <w:rPr>
          <w:rFonts w:hint="eastAsia" w:ascii="宋体" w:hAnsi="宋体"/>
          <w:b/>
          <w:color w:val="auto"/>
          <w:highlight w:val="none"/>
        </w:rPr>
      </w:pPr>
      <w:r>
        <w:rPr>
          <w:rFonts w:hint="eastAsia" w:ascii="宋体" w:hAnsi="宋体"/>
          <w:b/>
          <w:color w:val="auto"/>
          <w:highlight w:val="none"/>
        </w:rPr>
        <w:t>3.6.供应商认为应列入投标文件得到其他材料</w:t>
      </w:r>
    </w:p>
    <w:p w14:paraId="03DCD9DD">
      <w:pPr>
        <w:spacing w:before="120"/>
        <w:jc w:val="lef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3.7附件：</w:t>
      </w:r>
    </w:p>
    <w:p w14:paraId="7040029B">
      <w:pPr>
        <w:pStyle w:val="24"/>
        <w:spacing w:line="400" w:lineRule="exact"/>
        <w:ind w:firstLine="0" w:firstLineChars="0"/>
        <w:rPr>
          <w:rFonts w:hint="eastAsia" w:asciiTheme="majorEastAsia" w:hAnsiTheme="majorEastAsia" w:eastAsiaTheme="majorEastAsia" w:cstheme="majorEastAsia"/>
          <w:color w:val="auto"/>
          <w:sz w:val="24"/>
          <w:szCs w:val="24"/>
          <w:highlight w:val="none"/>
        </w:rPr>
      </w:pPr>
    </w:p>
    <w:p w14:paraId="1BAC6D9E">
      <w:pPr>
        <w:widowControl/>
        <w:spacing w:line="400" w:lineRule="exact"/>
        <w:jc w:val="center"/>
        <w:outlineLvl w:val="0"/>
        <w:rPr>
          <w:rFonts w:hint="eastAsia" w:asciiTheme="majorEastAsia" w:hAnsiTheme="majorEastAsia" w:eastAsiaTheme="majorEastAsia" w:cstheme="majorEastAsia"/>
          <w:b/>
          <w:color w:val="auto"/>
          <w:highlight w:val="none"/>
        </w:rPr>
      </w:pPr>
      <w:bookmarkStart w:id="348" w:name="_Toc22867"/>
      <w:r>
        <w:rPr>
          <w:rFonts w:hint="eastAsia" w:asciiTheme="majorEastAsia" w:hAnsiTheme="majorEastAsia" w:eastAsiaTheme="majorEastAsia" w:cstheme="majorEastAsia"/>
          <w:b/>
          <w:color w:val="auto"/>
          <w:highlight w:val="none"/>
        </w:rPr>
        <w:t>法定代表人身份证明书</w:t>
      </w:r>
      <w:bookmarkEnd w:id="348"/>
    </w:p>
    <w:p w14:paraId="6AA3AB63">
      <w:pPr>
        <w:spacing w:line="400" w:lineRule="exact"/>
        <w:rPr>
          <w:rFonts w:hint="eastAsia" w:asciiTheme="majorEastAsia" w:hAnsiTheme="majorEastAsia" w:eastAsiaTheme="majorEastAsia" w:cstheme="majorEastAsia"/>
          <w:b/>
          <w:color w:val="auto"/>
          <w:highlight w:val="none"/>
        </w:rPr>
      </w:pPr>
    </w:p>
    <w:p w14:paraId="33528946">
      <w:pPr>
        <w:spacing w:line="400" w:lineRule="exact"/>
        <w:ind w:firstLine="612"/>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单位名称：</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p>
    <w:p w14:paraId="646F5962">
      <w:pPr>
        <w:spacing w:line="400" w:lineRule="exact"/>
        <w:ind w:firstLine="61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单位性质：</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p>
    <w:p w14:paraId="6ACCEBAD">
      <w:pPr>
        <w:spacing w:line="400" w:lineRule="exact"/>
        <w:ind w:firstLine="61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地    址：</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p>
    <w:p w14:paraId="6B2554E4">
      <w:pPr>
        <w:spacing w:line="400" w:lineRule="exact"/>
        <w:ind w:firstLine="61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成立时间：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日</w:t>
      </w:r>
    </w:p>
    <w:p w14:paraId="5732DDFB">
      <w:pPr>
        <w:spacing w:line="400" w:lineRule="exact"/>
        <w:ind w:firstLine="61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经营期限：</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p>
    <w:p w14:paraId="56C5EB94">
      <w:pPr>
        <w:spacing w:line="400" w:lineRule="exact"/>
        <w:ind w:firstLine="61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姓    名：</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 性别：</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年龄：</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 </w:t>
      </w:r>
    </w:p>
    <w:p w14:paraId="7ADB8F90">
      <w:pPr>
        <w:spacing w:line="400" w:lineRule="exact"/>
        <w:ind w:firstLine="61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身份证号码</w:t>
      </w:r>
      <w:r>
        <w:rPr>
          <w:rFonts w:hint="eastAsia" w:asciiTheme="majorEastAsia" w:hAnsiTheme="majorEastAsia" w:eastAsiaTheme="majorEastAsia" w:cstheme="majorEastAsia"/>
          <w:color w:val="auto"/>
          <w:highlight w:val="none"/>
          <w:u w:val="single"/>
        </w:rPr>
        <w:t xml:space="preserve">                                 </w:t>
      </w:r>
    </w:p>
    <w:p w14:paraId="6AE8ED0D">
      <w:pPr>
        <w:spacing w:line="400" w:lineRule="exact"/>
        <w:ind w:firstLine="61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联系方式：</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邮箱：</w:t>
      </w:r>
      <w:r>
        <w:rPr>
          <w:rFonts w:hint="eastAsia" w:asciiTheme="majorEastAsia" w:hAnsiTheme="majorEastAsia" w:eastAsiaTheme="majorEastAsia" w:cstheme="majorEastAsia"/>
          <w:color w:val="auto"/>
          <w:highlight w:val="none"/>
          <w:u w:val="single"/>
        </w:rPr>
        <w:t xml:space="preserve">                    </w:t>
      </w:r>
    </w:p>
    <w:p w14:paraId="4D87B140">
      <w:pPr>
        <w:spacing w:line="400" w:lineRule="exact"/>
        <w:ind w:firstLine="61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系</w:t>
      </w:r>
      <w:r>
        <w:rPr>
          <w:rFonts w:hint="eastAsia" w:asciiTheme="majorEastAsia" w:hAnsiTheme="majorEastAsia" w:eastAsiaTheme="majorEastAsia" w:cstheme="majorEastAsia"/>
          <w:color w:val="auto"/>
          <w:highlight w:val="none"/>
          <w:u w:val="single"/>
        </w:rPr>
        <w:t xml:space="preserve">          （供应商单位名称）         </w:t>
      </w:r>
      <w:r>
        <w:rPr>
          <w:rFonts w:hint="eastAsia" w:asciiTheme="majorEastAsia" w:hAnsiTheme="majorEastAsia" w:eastAsiaTheme="majorEastAsia" w:cstheme="majorEastAsia"/>
          <w:color w:val="auto"/>
          <w:highlight w:val="none"/>
        </w:rPr>
        <w:t>的法定代表人。</w:t>
      </w:r>
    </w:p>
    <w:p w14:paraId="1A094308">
      <w:pPr>
        <w:spacing w:line="400" w:lineRule="exact"/>
        <w:ind w:firstLine="61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特此证明。</w:t>
      </w:r>
    </w:p>
    <w:p w14:paraId="106FBE15">
      <w:pPr>
        <w:spacing w:line="400" w:lineRule="exact"/>
        <w:ind w:firstLine="61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u w:val="single"/>
        </w:rPr>
        <w:t xml:space="preserve">          附身份证复印件                         </w:t>
      </w:r>
    </w:p>
    <w:p w14:paraId="4CFC20F2">
      <w:pPr>
        <w:tabs>
          <w:tab w:val="left" w:pos="720"/>
          <w:tab w:val="left" w:pos="900"/>
        </w:tabs>
        <w:spacing w:line="400" w:lineRule="exact"/>
        <w:ind w:firstLine="480" w:firstLineChars="200"/>
        <w:rPr>
          <w:rFonts w:hint="eastAsia" w:asciiTheme="majorEastAsia" w:hAnsiTheme="majorEastAsia" w:eastAsiaTheme="majorEastAsia" w:cstheme="majorEastAsia"/>
          <w:color w:val="auto"/>
          <w:highlight w:val="none"/>
        </w:rPr>
      </w:pPr>
    </w:p>
    <w:p w14:paraId="70E380B5">
      <w:pPr>
        <w:tabs>
          <w:tab w:val="left" w:pos="720"/>
          <w:tab w:val="left" w:pos="900"/>
        </w:tabs>
        <w:spacing w:line="400" w:lineRule="exact"/>
        <w:ind w:firstLine="4440" w:firstLineChars="1850"/>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供应商：</w:t>
      </w:r>
      <w:r>
        <w:rPr>
          <w:rFonts w:hint="eastAsia" w:asciiTheme="majorEastAsia" w:hAnsiTheme="majorEastAsia" w:eastAsiaTheme="majorEastAsia" w:cstheme="majorEastAsia"/>
          <w:color w:val="auto"/>
          <w:highlight w:val="none"/>
          <w:u w:val="single"/>
        </w:rPr>
        <w:t xml:space="preserve">         （盖公章）</w:t>
      </w:r>
    </w:p>
    <w:p w14:paraId="7B9FC600">
      <w:pPr>
        <w:tabs>
          <w:tab w:val="left" w:pos="720"/>
          <w:tab w:val="left" w:pos="900"/>
        </w:tabs>
        <w:spacing w:line="400" w:lineRule="exact"/>
        <w:ind w:firstLine="4440" w:firstLineChars="185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法定代表人签名</w:t>
      </w:r>
      <w:r>
        <w:rPr>
          <w:rFonts w:hint="eastAsia" w:asciiTheme="majorEastAsia" w:hAnsiTheme="majorEastAsia" w:eastAsiaTheme="majorEastAsia" w:cstheme="majorEastAsia"/>
          <w:color w:val="auto"/>
          <w:highlight w:val="none"/>
          <w:u w:val="single"/>
        </w:rPr>
        <w:t xml:space="preserve">：           </w:t>
      </w:r>
    </w:p>
    <w:p w14:paraId="6DB2B6C1">
      <w:pPr>
        <w:tabs>
          <w:tab w:val="left" w:pos="720"/>
          <w:tab w:val="left" w:pos="900"/>
        </w:tabs>
        <w:spacing w:line="400" w:lineRule="exact"/>
        <w:ind w:firstLine="4440" w:firstLineChars="185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 期：</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日</w:t>
      </w:r>
    </w:p>
    <w:p w14:paraId="1EB9B772">
      <w:pPr>
        <w:widowControl/>
        <w:jc w:val="center"/>
        <w:rPr>
          <w:rFonts w:hint="eastAsia" w:asciiTheme="majorEastAsia" w:hAnsiTheme="majorEastAsia" w:eastAsiaTheme="majorEastAsia" w:cstheme="majorEastAsia"/>
          <w:b/>
          <w:color w:val="auto"/>
          <w:sz w:val="32"/>
          <w:szCs w:val="32"/>
          <w:highlight w:val="none"/>
        </w:rPr>
      </w:pPr>
      <w:bookmarkStart w:id="349" w:name="_Toc263"/>
      <w:bookmarkStart w:id="350" w:name="_Toc7171"/>
      <w:bookmarkStart w:id="351" w:name="_Toc25165"/>
      <w:bookmarkStart w:id="352" w:name="_Toc27790"/>
      <w:bookmarkStart w:id="353" w:name="_Toc18831"/>
    </w:p>
    <w:p w14:paraId="34DB5139">
      <w:pPr>
        <w:widowControl/>
        <w:jc w:val="center"/>
        <w:outlineLvl w:val="0"/>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bookmarkStart w:id="354" w:name="_Toc17045"/>
      <w:r>
        <w:rPr>
          <w:rFonts w:hint="eastAsia" w:asciiTheme="majorEastAsia" w:hAnsiTheme="majorEastAsia" w:eastAsiaTheme="majorEastAsia" w:cstheme="majorEastAsia"/>
          <w:b/>
          <w:color w:val="auto"/>
          <w:sz w:val="32"/>
          <w:szCs w:val="32"/>
          <w:highlight w:val="none"/>
        </w:rPr>
        <w:t>授权委托书</w:t>
      </w:r>
      <w:bookmarkEnd w:id="349"/>
      <w:bookmarkEnd w:id="350"/>
      <w:bookmarkEnd w:id="351"/>
      <w:bookmarkEnd w:id="352"/>
      <w:bookmarkEnd w:id="353"/>
      <w:bookmarkEnd w:id="354"/>
    </w:p>
    <w:p w14:paraId="1C232EB8">
      <w:pPr>
        <w:widowControl/>
        <w:spacing w:line="420" w:lineRule="exact"/>
        <w:jc w:val="left"/>
        <w:rPr>
          <w:rFonts w:hint="eastAsia" w:asciiTheme="majorEastAsia" w:hAnsiTheme="majorEastAsia" w:eastAsiaTheme="majorEastAsia" w:cstheme="majorEastAsia"/>
          <w:color w:val="auto"/>
          <w:sz w:val="18"/>
          <w:szCs w:val="18"/>
          <w:highlight w:val="none"/>
        </w:rPr>
      </w:pPr>
      <w:r>
        <w:rPr>
          <w:rFonts w:hint="eastAsia" w:asciiTheme="majorEastAsia" w:hAnsiTheme="majorEastAsia" w:eastAsiaTheme="majorEastAsia" w:cstheme="majorEastAsia"/>
          <w:color w:val="auto"/>
          <w:sz w:val="32"/>
          <w:szCs w:val="32"/>
          <w:highlight w:val="none"/>
        </w:rPr>
        <w:t> </w:t>
      </w:r>
    </w:p>
    <w:p w14:paraId="6FD634E7">
      <w:pPr>
        <w:widowControl/>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委托人（供应商）：</w:t>
      </w:r>
      <w:r>
        <w:rPr>
          <w:rFonts w:hint="eastAsia" w:asciiTheme="majorEastAsia" w:hAnsiTheme="majorEastAsia" w:eastAsiaTheme="majorEastAsia" w:cstheme="majorEastAsia"/>
          <w:color w:val="auto"/>
          <w:highlight w:val="none"/>
          <w:u w:val="single"/>
        </w:rPr>
        <w:t xml:space="preserve">                         </w:t>
      </w:r>
    </w:p>
    <w:p w14:paraId="1E1458DE">
      <w:pPr>
        <w:widowControl/>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地    址：</w:t>
      </w:r>
      <w:r>
        <w:rPr>
          <w:rFonts w:hint="eastAsia" w:asciiTheme="majorEastAsia" w:hAnsiTheme="majorEastAsia" w:eastAsiaTheme="majorEastAsia" w:cstheme="majorEastAsia"/>
          <w:color w:val="auto"/>
          <w:highlight w:val="none"/>
          <w:u w:val="single"/>
        </w:rPr>
        <w:t xml:space="preserve">                               </w:t>
      </w:r>
    </w:p>
    <w:p w14:paraId="73122BBD">
      <w:pPr>
        <w:widowControl/>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法定代表人：</w:t>
      </w:r>
      <w:r>
        <w:rPr>
          <w:rFonts w:hint="eastAsia" w:asciiTheme="majorEastAsia" w:hAnsiTheme="majorEastAsia" w:eastAsiaTheme="majorEastAsia" w:cstheme="majorEastAsia"/>
          <w:color w:val="auto"/>
          <w:highlight w:val="none"/>
          <w:u w:val="single"/>
        </w:rPr>
        <w:t xml:space="preserve">                             </w:t>
      </w:r>
    </w:p>
    <w:p w14:paraId="6CAB5040">
      <w:pPr>
        <w:widowControl/>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受委托人（一）：</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职务：</w:t>
      </w:r>
      <w:r>
        <w:rPr>
          <w:rFonts w:hint="eastAsia" w:asciiTheme="majorEastAsia" w:hAnsiTheme="majorEastAsia" w:eastAsiaTheme="majorEastAsia" w:cstheme="majorEastAsia"/>
          <w:color w:val="auto"/>
          <w:highlight w:val="none"/>
          <w:u w:val="single"/>
        </w:rPr>
        <w:t xml:space="preserve">        </w:t>
      </w:r>
    </w:p>
    <w:p w14:paraId="37816CBB">
      <w:pPr>
        <w:widowControl/>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受委托人（一）身份证号码：</w:t>
      </w:r>
      <w:r>
        <w:rPr>
          <w:rFonts w:hint="eastAsia" w:asciiTheme="majorEastAsia" w:hAnsiTheme="majorEastAsia" w:eastAsiaTheme="majorEastAsia" w:cstheme="majorEastAsia"/>
          <w:color w:val="auto"/>
          <w:highlight w:val="none"/>
          <w:u w:val="single"/>
        </w:rPr>
        <w:t>                   </w:t>
      </w:r>
    </w:p>
    <w:p w14:paraId="5A109565">
      <w:pPr>
        <w:spacing w:line="400" w:lineRule="exac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联系方式：</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邮箱：</w:t>
      </w:r>
      <w:r>
        <w:rPr>
          <w:rFonts w:hint="eastAsia" w:asciiTheme="majorEastAsia" w:hAnsiTheme="majorEastAsia" w:eastAsiaTheme="majorEastAsia" w:cstheme="majorEastAsia"/>
          <w:color w:val="auto"/>
          <w:highlight w:val="none"/>
          <w:u w:val="single"/>
        </w:rPr>
        <w:t xml:space="preserve">                            </w:t>
      </w:r>
    </w:p>
    <w:p w14:paraId="1342AABF">
      <w:pPr>
        <w:widowControl/>
        <w:spacing w:line="420" w:lineRule="exact"/>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2C7EE71">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现委托上述受委托人在</w:t>
      </w:r>
      <w:r>
        <w:rPr>
          <w:rFonts w:hint="eastAsia" w:asciiTheme="majorEastAsia" w:hAnsiTheme="majorEastAsia" w:eastAsiaTheme="majorEastAsia" w:cstheme="majorEastAsia"/>
          <w:color w:val="auto"/>
          <w:highlight w:val="none"/>
          <w:u w:val="single"/>
        </w:rPr>
        <w:t>   （招标项目名称）     </w:t>
      </w:r>
      <w:r>
        <w:rPr>
          <w:rFonts w:hint="eastAsia" w:asciiTheme="majorEastAsia" w:hAnsiTheme="majorEastAsia" w:eastAsiaTheme="majorEastAsia" w:cstheme="majorEastAsia"/>
          <w:color w:val="auto"/>
          <w:highlight w:val="none"/>
        </w:rPr>
        <w:t>招标投标活动中，作为委托人的授权委托人。</w:t>
      </w:r>
    </w:p>
    <w:p w14:paraId="208BC95C">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委托事项：领取采购文件、编制、签署、递交、说明补正</w:t>
      </w:r>
      <w:r>
        <w:rPr>
          <w:rFonts w:hint="eastAsia" w:asciiTheme="majorEastAsia" w:hAnsiTheme="majorEastAsia" w:eastAsiaTheme="majorEastAsia" w:cstheme="majorEastAsia"/>
          <w:color w:val="auto"/>
          <w:highlight w:val="none"/>
          <w:lang w:eastAsia="zh-CN"/>
        </w:rPr>
        <w:t>投标文件</w:t>
      </w:r>
      <w:r>
        <w:rPr>
          <w:rFonts w:hint="eastAsia" w:asciiTheme="majorEastAsia" w:hAnsiTheme="majorEastAsia" w:eastAsiaTheme="majorEastAsia" w:cstheme="majorEastAsia"/>
          <w:color w:val="auto"/>
          <w:highlight w:val="none"/>
        </w:rPr>
        <w:t>、签订合同和处理有关事宜等特别授权。受委托人联合行使或独立行使的委托权限，其法律后果由委托人承担。</w:t>
      </w:r>
    </w:p>
    <w:p w14:paraId="15777EF8">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投标事务负责人无转委托权。采购人（采购代理机构）有权拒绝其他任何代表委托人行使的投标事宜，以及超出本授权范围的其他事宜。</w:t>
      </w:r>
    </w:p>
    <w:p w14:paraId="2D4D3AC5">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委托期限：</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日，自</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rPr>
        <w:t>年</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rPr>
        <w:t>日至</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rPr>
        <w:t>年</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rPr>
        <w:t>日。</w:t>
      </w:r>
    </w:p>
    <w:p w14:paraId="0BBD47C0">
      <w:pPr>
        <w:widowControl/>
        <w:spacing w:line="420" w:lineRule="exact"/>
        <w:ind w:firstLine="480" w:firstLineChars="200"/>
        <w:jc w:val="left"/>
        <w:rPr>
          <w:rFonts w:hint="eastAsia" w:asciiTheme="majorEastAsia" w:hAnsiTheme="majorEastAsia" w:eastAsiaTheme="majorEastAsia" w:cstheme="majorEastAsia"/>
          <w:color w:val="auto"/>
          <w:highlight w:val="none"/>
        </w:rPr>
      </w:pPr>
    </w:p>
    <w:p w14:paraId="5E2AE046">
      <w:pPr>
        <w:spacing w:line="420" w:lineRule="exact"/>
        <w:ind w:firstLine="61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（附身份证复印件）                             </w:t>
      </w:r>
    </w:p>
    <w:p w14:paraId="2F93C0D7">
      <w:pPr>
        <w:widowControl/>
        <w:spacing w:line="420" w:lineRule="exact"/>
        <w:ind w:firstLine="480" w:firstLineChars="200"/>
        <w:jc w:val="left"/>
        <w:rPr>
          <w:rFonts w:hint="eastAsia" w:asciiTheme="majorEastAsia" w:hAnsiTheme="majorEastAsia" w:eastAsiaTheme="majorEastAsia" w:cstheme="majorEastAsia"/>
          <w:color w:val="auto"/>
          <w:highlight w:val="none"/>
        </w:rPr>
      </w:pPr>
    </w:p>
    <w:p w14:paraId="58A27D01">
      <w:pPr>
        <w:widowControl/>
        <w:spacing w:line="420" w:lineRule="exact"/>
        <w:ind w:firstLine="480" w:firstLineChars="200"/>
        <w:jc w:val="left"/>
        <w:rPr>
          <w:rFonts w:hint="eastAsia" w:asciiTheme="majorEastAsia" w:hAnsiTheme="majorEastAsia" w:eastAsiaTheme="majorEastAsia" w:cstheme="majorEastAsia"/>
          <w:color w:val="auto"/>
          <w:highlight w:val="none"/>
        </w:rPr>
      </w:pPr>
    </w:p>
    <w:p w14:paraId="7B2E2384">
      <w:pPr>
        <w:widowControl/>
        <w:spacing w:line="420" w:lineRule="exact"/>
        <w:ind w:firstLine="480" w:firstLineChars="200"/>
        <w:jc w:val="left"/>
        <w:rPr>
          <w:rFonts w:hint="eastAsia" w:asciiTheme="majorEastAsia" w:hAnsiTheme="majorEastAsia" w:eastAsiaTheme="majorEastAsia" w:cstheme="majorEastAsia"/>
          <w:color w:val="auto"/>
          <w:highlight w:val="none"/>
        </w:rPr>
      </w:pPr>
    </w:p>
    <w:p w14:paraId="309A14D3">
      <w:pPr>
        <w:widowControl/>
        <w:spacing w:line="420" w:lineRule="exact"/>
        <w:ind w:firstLine="480" w:firstLineChars="200"/>
        <w:jc w:val="left"/>
        <w:rPr>
          <w:rFonts w:hint="eastAsia" w:asciiTheme="majorEastAsia" w:hAnsiTheme="majorEastAsia" w:eastAsiaTheme="majorEastAsia" w:cstheme="majorEastAsia"/>
          <w:color w:val="auto"/>
          <w:highlight w:val="none"/>
        </w:rPr>
      </w:pPr>
    </w:p>
    <w:p w14:paraId="3D121ADC">
      <w:pPr>
        <w:widowControl/>
        <w:spacing w:line="420" w:lineRule="exact"/>
        <w:ind w:firstLine="480" w:firstLineChars="200"/>
        <w:jc w:val="left"/>
        <w:rPr>
          <w:rFonts w:hint="eastAsia" w:asciiTheme="majorEastAsia" w:hAnsiTheme="majorEastAsia" w:eastAsiaTheme="majorEastAsia" w:cstheme="majorEastAsia"/>
          <w:color w:val="auto"/>
          <w:highlight w:val="none"/>
        </w:rPr>
      </w:pPr>
    </w:p>
    <w:p w14:paraId="460B682C">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181FF81">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委托人：</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（盖单位章）</w:t>
      </w:r>
    </w:p>
    <w:p w14:paraId="442E5F48">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1E4A469">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法定代表人：</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（签字）</w:t>
      </w:r>
    </w:p>
    <w:p w14:paraId="2CBCD8EE">
      <w:pPr>
        <w:widowControl/>
        <w:spacing w:line="420" w:lineRule="exact"/>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BF0EEB4">
      <w:pPr>
        <w:pStyle w:val="56"/>
        <w:spacing w:line="360" w:lineRule="exact"/>
        <w:ind w:left="-2" w:leftChars="-1"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受委托人：</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rPr>
        <w:t>（签字）</w:t>
      </w:r>
    </w:p>
    <w:p w14:paraId="77777441">
      <w:pPr>
        <w:pStyle w:val="14"/>
        <w:ind w:left="480"/>
        <w:rPr>
          <w:rFonts w:hint="eastAsia" w:asciiTheme="majorEastAsia" w:hAnsiTheme="majorEastAsia" w:eastAsiaTheme="majorEastAsia" w:cstheme="majorEastAsia"/>
          <w:b/>
          <w:color w:val="auto"/>
          <w:highlight w:val="none"/>
        </w:rPr>
      </w:pPr>
    </w:p>
    <w:p w14:paraId="716CAC80">
      <w:pPr>
        <w:rPr>
          <w:color w:val="auto"/>
          <w:highlight w:val="none"/>
        </w:rPr>
      </w:pPr>
    </w:p>
    <w:bookmarkEnd w:id="355"/>
    <w:sectPr>
      <w:pgSz w:w="11906" w:h="16838"/>
      <w:pgMar w:top="1213" w:right="1558" w:bottom="115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0973525"/>
    </w:sdtPr>
    <w:sdtContent>
      <w:p w14:paraId="51B013CA">
        <w:pPr>
          <w:pStyle w:val="16"/>
          <w:jc w:val="center"/>
        </w:pPr>
        <w:r>
          <w:fldChar w:fldCharType="begin"/>
        </w:r>
        <w:r>
          <w:instrText xml:space="preserve">PAGE   \* MERGEFORMAT</w:instrText>
        </w:r>
        <w:r>
          <w:fldChar w:fldCharType="separate"/>
        </w:r>
        <w:r>
          <w:rPr>
            <w:lang w:val="zh-CN"/>
          </w:rPr>
          <w:t>50</w:t>
        </w:r>
        <w:r>
          <w:fldChar w:fldCharType="end"/>
        </w:r>
      </w:p>
    </w:sdtContent>
  </w:sdt>
  <w:p w14:paraId="04A023C5">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2B6572"/>
    <w:multiLevelType w:val="singleLevel"/>
    <w:tmpl w:val="E72B6572"/>
    <w:lvl w:ilvl="0" w:tentative="0">
      <w:start w:val="4"/>
      <w:numFmt w:val="chineseCounting"/>
      <w:suff w:val="space"/>
      <w:lvlText w:val="第%1章"/>
      <w:lvlJc w:val="left"/>
      <w:rPr>
        <w:rFonts w:hint="eastAsia"/>
      </w:rPr>
    </w:lvl>
  </w:abstractNum>
  <w:abstractNum w:abstractNumId="1">
    <w:nsid w:val="3964E114"/>
    <w:multiLevelType w:val="singleLevel"/>
    <w:tmpl w:val="3964E114"/>
    <w:lvl w:ilvl="0" w:tentative="0">
      <w:start w:val="5"/>
      <w:numFmt w:val="chineseCounting"/>
      <w:suff w:val="space"/>
      <w:lvlText w:val="第%1章"/>
      <w:lvlJc w:val="left"/>
      <w:rPr>
        <w:rFonts w:hint="eastAsia"/>
      </w:rPr>
    </w:lvl>
  </w:abstractNum>
  <w:abstractNum w:abstractNumId="2">
    <w:nsid w:val="4BCE7013"/>
    <w:multiLevelType w:val="singleLevel"/>
    <w:tmpl w:val="4BCE7013"/>
    <w:lvl w:ilvl="0" w:tentative="0">
      <w:start w:val="1"/>
      <w:numFmt w:val="decimal"/>
      <w:suff w:val="nothing"/>
      <w:lvlText w:val="%1、"/>
      <w:lvlJc w:val="left"/>
    </w:lvl>
  </w:abstractNum>
  <w:abstractNum w:abstractNumId="3">
    <w:nsid w:val="661487BD"/>
    <w:multiLevelType w:val="singleLevel"/>
    <w:tmpl w:val="661487BD"/>
    <w:lvl w:ilvl="0" w:tentative="0">
      <w:start w:val="1"/>
      <w:numFmt w:val="decimal"/>
      <w:suff w:val="nothing"/>
      <w:lvlText w:val="（%1）"/>
      <w:lvlJc w:val="left"/>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5NzA1OWQ3NzJlYmQyMTE3ZmE5ZjlhNzgyNTJjYmMifQ=="/>
  </w:docVars>
  <w:rsids>
    <w:rsidRoot w:val="00F24CD4"/>
    <w:rsid w:val="00016641"/>
    <w:rsid w:val="00023D6D"/>
    <w:rsid w:val="00030D30"/>
    <w:rsid w:val="00043144"/>
    <w:rsid w:val="00043A56"/>
    <w:rsid w:val="00056D7A"/>
    <w:rsid w:val="00061954"/>
    <w:rsid w:val="00062627"/>
    <w:rsid w:val="0006601B"/>
    <w:rsid w:val="00081434"/>
    <w:rsid w:val="00084A19"/>
    <w:rsid w:val="00091566"/>
    <w:rsid w:val="0009699F"/>
    <w:rsid w:val="000A0E3B"/>
    <w:rsid w:val="000B36D7"/>
    <w:rsid w:val="000D0035"/>
    <w:rsid w:val="000F02B8"/>
    <w:rsid w:val="000F4C80"/>
    <w:rsid w:val="000F7203"/>
    <w:rsid w:val="00114A5C"/>
    <w:rsid w:val="00121DDC"/>
    <w:rsid w:val="00130DF9"/>
    <w:rsid w:val="00150FED"/>
    <w:rsid w:val="00162569"/>
    <w:rsid w:val="0016448A"/>
    <w:rsid w:val="0017591F"/>
    <w:rsid w:val="00177EE0"/>
    <w:rsid w:val="00185D2A"/>
    <w:rsid w:val="00185F38"/>
    <w:rsid w:val="0019223D"/>
    <w:rsid w:val="001A071D"/>
    <w:rsid w:val="001A4B04"/>
    <w:rsid w:val="001A65D1"/>
    <w:rsid w:val="001C3EE0"/>
    <w:rsid w:val="001C48F9"/>
    <w:rsid w:val="001D076C"/>
    <w:rsid w:val="001E276B"/>
    <w:rsid w:val="001F3FFA"/>
    <w:rsid w:val="001F6455"/>
    <w:rsid w:val="00220DE6"/>
    <w:rsid w:val="0022576E"/>
    <w:rsid w:val="00242E7C"/>
    <w:rsid w:val="002562A9"/>
    <w:rsid w:val="00257EE9"/>
    <w:rsid w:val="00260CE9"/>
    <w:rsid w:val="00270BE5"/>
    <w:rsid w:val="00274C87"/>
    <w:rsid w:val="00281479"/>
    <w:rsid w:val="002C1E07"/>
    <w:rsid w:val="002C5D00"/>
    <w:rsid w:val="00321BEE"/>
    <w:rsid w:val="003225BB"/>
    <w:rsid w:val="003340F4"/>
    <w:rsid w:val="0033630F"/>
    <w:rsid w:val="003637D2"/>
    <w:rsid w:val="0037724D"/>
    <w:rsid w:val="003805D0"/>
    <w:rsid w:val="003A2CB1"/>
    <w:rsid w:val="003A6119"/>
    <w:rsid w:val="003A798E"/>
    <w:rsid w:val="003B6A16"/>
    <w:rsid w:val="003D00F1"/>
    <w:rsid w:val="003F4A6D"/>
    <w:rsid w:val="004142B0"/>
    <w:rsid w:val="004227B7"/>
    <w:rsid w:val="00422F99"/>
    <w:rsid w:val="004300BC"/>
    <w:rsid w:val="0043186A"/>
    <w:rsid w:val="00482380"/>
    <w:rsid w:val="004825D9"/>
    <w:rsid w:val="00487A3C"/>
    <w:rsid w:val="00495D48"/>
    <w:rsid w:val="00496D1D"/>
    <w:rsid w:val="004A133D"/>
    <w:rsid w:val="004A1E85"/>
    <w:rsid w:val="004C1448"/>
    <w:rsid w:val="004C266E"/>
    <w:rsid w:val="004D1A7D"/>
    <w:rsid w:val="004E6288"/>
    <w:rsid w:val="004E637D"/>
    <w:rsid w:val="004F674A"/>
    <w:rsid w:val="00511A86"/>
    <w:rsid w:val="00532CCE"/>
    <w:rsid w:val="0053456B"/>
    <w:rsid w:val="00545818"/>
    <w:rsid w:val="00562B2E"/>
    <w:rsid w:val="00563375"/>
    <w:rsid w:val="0056756E"/>
    <w:rsid w:val="00571146"/>
    <w:rsid w:val="00573FC2"/>
    <w:rsid w:val="005845F5"/>
    <w:rsid w:val="00597096"/>
    <w:rsid w:val="005C3349"/>
    <w:rsid w:val="005C3762"/>
    <w:rsid w:val="005D62FA"/>
    <w:rsid w:val="00602CB8"/>
    <w:rsid w:val="006375D2"/>
    <w:rsid w:val="00644F30"/>
    <w:rsid w:val="00647AF0"/>
    <w:rsid w:val="00650B20"/>
    <w:rsid w:val="006704EB"/>
    <w:rsid w:val="00682B15"/>
    <w:rsid w:val="00696C1C"/>
    <w:rsid w:val="006A35DB"/>
    <w:rsid w:val="006E23DF"/>
    <w:rsid w:val="006F04B3"/>
    <w:rsid w:val="006F6E5D"/>
    <w:rsid w:val="007078FC"/>
    <w:rsid w:val="007104EC"/>
    <w:rsid w:val="0071261D"/>
    <w:rsid w:val="0074119A"/>
    <w:rsid w:val="00741B2E"/>
    <w:rsid w:val="007471EF"/>
    <w:rsid w:val="0078143C"/>
    <w:rsid w:val="007F2883"/>
    <w:rsid w:val="007F2C4B"/>
    <w:rsid w:val="00832566"/>
    <w:rsid w:val="0085221E"/>
    <w:rsid w:val="00873257"/>
    <w:rsid w:val="00874B4B"/>
    <w:rsid w:val="00884752"/>
    <w:rsid w:val="008923D8"/>
    <w:rsid w:val="008B7CF4"/>
    <w:rsid w:val="008C257A"/>
    <w:rsid w:val="008C2736"/>
    <w:rsid w:val="008D5504"/>
    <w:rsid w:val="008E024C"/>
    <w:rsid w:val="008E250D"/>
    <w:rsid w:val="00904B62"/>
    <w:rsid w:val="009378D4"/>
    <w:rsid w:val="00952547"/>
    <w:rsid w:val="009848B3"/>
    <w:rsid w:val="009856BB"/>
    <w:rsid w:val="0099207E"/>
    <w:rsid w:val="00992340"/>
    <w:rsid w:val="00996796"/>
    <w:rsid w:val="00997C8E"/>
    <w:rsid w:val="009B781D"/>
    <w:rsid w:val="009C779F"/>
    <w:rsid w:val="009E4540"/>
    <w:rsid w:val="009F6FBC"/>
    <w:rsid w:val="00A06AEA"/>
    <w:rsid w:val="00A16F4E"/>
    <w:rsid w:val="00A1767A"/>
    <w:rsid w:val="00A21AE0"/>
    <w:rsid w:val="00A301DD"/>
    <w:rsid w:val="00A33089"/>
    <w:rsid w:val="00A364B9"/>
    <w:rsid w:val="00A36F47"/>
    <w:rsid w:val="00A46E79"/>
    <w:rsid w:val="00A56B1E"/>
    <w:rsid w:val="00A668E1"/>
    <w:rsid w:val="00A8781E"/>
    <w:rsid w:val="00A92B5D"/>
    <w:rsid w:val="00A92B82"/>
    <w:rsid w:val="00A94FFD"/>
    <w:rsid w:val="00AA07F0"/>
    <w:rsid w:val="00AA5695"/>
    <w:rsid w:val="00AF16F4"/>
    <w:rsid w:val="00B22B7F"/>
    <w:rsid w:val="00B2654F"/>
    <w:rsid w:val="00B72F9A"/>
    <w:rsid w:val="00B80030"/>
    <w:rsid w:val="00B83EBC"/>
    <w:rsid w:val="00B93086"/>
    <w:rsid w:val="00BB46CC"/>
    <w:rsid w:val="00BB6EFF"/>
    <w:rsid w:val="00BC758A"/>
    <w:rsid w:val="00BD6078"/>
    <w:rsid w:val="00BE4092"/>
    <w:rsid w:val="00C0745E"/>
    <w:rsid w:val="00C21E0B"/>
    <w:rsid w:val="00C27B7E"/>
    <w:rsid w:val="00C345A1"/>
    <w:rsid w:val="00C43EE5"/>
    <w:rsid w:val="00C57323"/>
    <w:rsid w:val="00C61A2C"/>
    <w:rsid w:val="00C70C0F"/>
    <w:rsid w:val="00C72133"/>
    <w:rsid w:val="00C73680"/>
    <w:rsid w:val="00C97304"/>
    <w:rsid w:val="00CA70E0"/>
    <w:rsid w:val="00CA7EEA"/>
    <w:rsid w:val="00CB5140"/>
    <w:rsid w:val="00CC04F8"/>
    <w:rsid w:val="00CC4EA0"/>
    <w:rsid w:val="00CE25FF"/>
    <w:rsid w:val="00CE2AE3"/>
    <w:rsid w:val="00CE2ED5"/>
    <w:rsid w:val="00CE5DC4"/>
    <w:rsid w:val="00CF19E6"/>
    <w:rsid w:val="00D04BBA"/>
    <w:rsid w:val="00D164D4"/>
    <w:rsid w:val="00D23952"/>
    <w:rsid w:val="00D250EE"/>
    <w:rsid w:val="00D85650"/>
    <w:rsid w:val="00D87EEB"/>
    <w:rsid w:val="00D93B90"/>
    <w:rsid w:val="00D93FCB"/>
    <w:rsid w:val="00DA553D"/>
    <w:rsid w:val="00DA7A8D"/>
    <w:rsid w:val="00DB4BA2"/>
    <w:rsid w:val="00DE1084"/>
    <w:rsid w:val="00DF034E"/>
    <w:rsid w:val="00DF0EFB"/>
    <w:rsid w:val="00E036A7"/>
    <w:rsid w:val="00E123D2"/>
    <w:rsid w:val="00E271C9"/>
    <w:rsid w:val="00E27970"/>
    <w:rsid w:val="00E41917"/>
    <w:rsid w:val="00E60A9C"/>
    <w:rsid w:val="00E70C4D"/>
    <w:rsid w:val="00E80FDE"/>
    <w:rsid w:val="00E846D9"/>
    <w:rsid w:val="00EB0902"/>
    <w:rsid w:val="00ED19B1"/>
    <w:rsid w:val="00ED296B"/>
    <w:rsid w:val="00EE1722"/>
    <w:rsid w:val="00EF369D"/>
    <w:rsid w:val="00F038B5"/>
    <w:rsid w:val="00F06C37"/>
    <w:rsid w:val="00F13A48"/>
    <w:rsid w:val="00F13BC3"/>
    <w:rsid w:val="00F153D1"/>
    <w:rsid w:val="00F24CD4"/>
    <w:rsid w:val="00F3547E"/>
    <w:rsid w:val="00F57104"/>
    <w:rsid w:val="00F73ACC"/>
    <w:rsid w:val="00F75D40"/>
    <w:rsid w:val="00F80386"/>
    <w:rsid w:val="00F82EA7"/>
    <w:rsid w:val="00F96656"/>
    <w:rsid w:val="00F96F60"/>
    <w:rsid w:val="00F978C6"/>
    <w:rsid w:val="00FA081C"/>
    <w:rsid w:val="00FA4AE3"/>
    <w:rsid w:val="00FC60C2"/>
    <w:rsid w:val="00FF304F"/>
    <w:rsid w:val="01350223"/>
    <w:rsid w:val="01685AF7"/>
    <w:rsid w:val="01BB5A85"/>
    <w:rsid w:val="01C35DFF"/>
    <w:rsid w:val="01EB45BC"/>
    <w:rsid w:val="021E0353"/>
    <w:rsid w:val="022278B2"/>
    <w:rsid w:val="02394B2D"/>
    <w:rsid w:val="02445A7A"/>
    <w:rsid w:val="026E6F9B"/>
    <w:rsid w:val="02784461"/>
    <w:rsid w:val="02994018"/>
    <w:rsid w:val="02F0273C"/>
    <w:rsid w:val="035A1A92"/>
    <w:rsid w:val="03BE7AAE"/>
    <w:rsid w:val="03DB0081"/>
    <w:rsid w:val="03DD6186"/>
    <w:rsid w:val="03F4527E"/>
    <w:rsid w:val="040E6340"/>
    <w:rsid w:val="04161698"/>
    <w:rsid w:val="041A2F36"/>
    <w:rsid w:val="0429076D"/>
    <w:rsid w:val="042948F2"/>
    <w:rsid w:val="042C2C6A"/>
    <w:rsid w:val="04A37004"/>
    <w:rsid w:val="04CB5FDF"/>
    <w:rsid w:val="05106822"/>
    <w:rsid w:val="051E7473"/>
    <w:rsid w:val="052838D4"/>
    <w:rsid w:val="052A284F"/>
    <w:rsid w:val="053A45A8"/>
    <w:rsid w:val="05697192"/>
    <w:rsid w:val="056A1C9B"/>
    <w:rsid w:val="056D52E8"/>
    <w:rsid w:val="0593210B"/>
    <w:rsid w:val="05976809"/>
    <w:rsid w:val="059E1945"/>
    <w:rsid w:val="05A54A82"/>
    <w:rsid w:val="05C869C2"/>
    <w:rsid w:val="05F11A75"/>
    <w:rsid w:val="05F8235F"/>
    <w:rsid w:val="06031841"/>
    <w:rsid w:val="062260D2"/>
    <w:rsid w:val="063D4CBA"/>
    <w:rsid w:val="066B5CCB"/>
    <w:rsid w:val="067A5F0E"/>
    <w:rsid w:val="06A765D7"/>
    <w:rsid w:val="06BA630B"/>
    <w:rsid w:val="06C62F02"/>
    <w:rsid w:val="06C75DF5"/>
    <w:rsid w:val="06D66EBD"/>
    <w:rsid w:val="06DD649D"/>
    <w:rsid w:val="06E15AD9"/>
    <w:rsid w:val="06EB6E0C"/>
    <w:rsid w:val="0733430F"/>
    <w:rsid w:val="073A38EF"/>
    <w:rsid w:val="073F4A62"/>
    <w:rsid w:val="07506C6F"/>
    <w:rsid w:val="07746E01"/>
    <w:rsid w:val="07774365"/>
    <w:rsid w:val="07E301FD"/>
    <w:rsid w:val="07E44876"/>
    <w:rsid w:val="08167EB9"/>
    <w:rsid w:val="081726B3"/>
    <w:rsid w:val="083E4D1A"/>
    <w:rsid w:val="08931509"/>
    <w:rsid w:val="08A55394"/>
    <w:rsid w:val="08A76D63"/>
    <w:rsid w:val="08B446D3"/>
    <w:rsid w:val="08B56EC5"/>
    <w:rsid w:val="08EB4EA1"/>
    <w:rsid w:val="08FC0E5C"/>
    <w:rsid w:val="09141A78"/>
    <w:rsid w:val="091A4CC9"/>
    <w:rsid w:val="0972111F"/>
    <w:rsid w:val="098F027E"/>
    <w:rsid w:val="0992356F"/>
    <w:rsid w:val="0A083831"/>
    <w:rsid w:val="0A314B36"/>
    <w:rsid w:val="0A543B62"/>
    <w:rsid w:val="0A704BD1"/>
    <w:rsid w:val="0AF45063"/>
    <w:rsid w:val="0B2C17A1"/>
    <w:rsid w:val="0B341654"/>
    <w:rsid w:val="0B446AEB"/>
    <w:rsid w:val="0B586924"/>
    <w:rsid w:val="0B751115"/>
    <w:rsid w:val="0B760EC6"/>
    <w:rsid w:val="0B7E1CB6"/>
    <w:rsid w:val="0B955598"/>
    <w:rsid w:val="0BAF665A"/>
    <w:rsid w:val="0BB342DB"/>
    <w:rsid w:val="0BBC2B25"/>
    <w:rsid w:val="0BC51F82"/>
    <w:rsid w:val="0BCA2A97"/>
    <w:rsid w:val="0BEB340A"/>
    <w:rsid w:val="0C13651A"/>
    <w:rsid w:val="0C1F767A"/>
    <w:rsid w:val="0C2D57D1"/>
    <w:rsid w:val="0C3703FE"/>
    <w:rsid w:val="0C4A4FFD"/>
    <w:rsid w:val="0C5965C6"/>
    <w:rsid w:val="0C8852C6"/>
    <w:rsid w:val="0CA4630A"/>
    <w:rsid w:val="0CA75583"/>
    <w:rsid w:val="0CC964A8"/>
    <w:rsid w:val="0CFC2B46"/>
    <w:rsid w:val="0D1150F2"/>
    <w:rsid w:val="0D166265"/>
    <w:rsid w:val="0D466B4A"/>
    <w:rsid w:val="0DAE2B79"/>
    <w:rsid w:val="0DC7755F"/>
    <w:rsid w:val="0E056A05"/>
    <w:rsid w:val="0E150EAB"/>
    <w:rsid w:val="0E172295"/>
    <w:rsid w:val="0E2B5D40"/>
    <w:rsid w:val="0E4868F2"/>
    <w:rsid w:val="0E6D45AA"/>
    <w:rsid w:val="0E965864"/>
    <w:rsid w:val="0E96765D"/>
    <w:rsid w:val="0EA026CC"/>
    <w:rsid w:val="0F093F3B"/>
    <w:rsid w:val="0F110441"/>
    <w:rsid w:val="0F5512C6"/>
    <w:rsid w:val="0F665D10"/>
    <w:rsid w:val="0FA20284"/>
    <w:rsid w:val="0FB0474F"/>
    <w:rsid w:val="0FB415D5"/>
    <w:rsid w:val="0FBA381F"/>
    <w:rsid w:val="10135C3C"/>
    <w:rsid w:val="10204215"/>
    <w:rsid w:val="104B3917"/>
    <w:rsid w:val="10593038"/>
    <w:rsid w:val="10864733"/>
    <w:rsid w:val="11032084"/>
    <w:rsid w:val="113A4C18"/>
    <w:rsid w:val="114446C2"/>
    <w:rsid w:val="11535CDA"/>
    <w:rsid w:val="115A040C"/>
    <w:rsid w:val="11716160"/>
    <w:rsid w:val="117A14B8"/>
    <w:rsid w:val="117B581C"/>
    <w:rsid w:val="119500A0"/>
    <w:rsid w:val="11AC0F46"/>
    <w:rsid w:val="11D87F8D"/>
    <w:rsid w:val="1205646C"/>
    <w:rsid w:val="122E4051"/>
    <w:rsid w:val="12324082"/>
    <w:rsid w:val="12541D09"/>
    <w:rsid w:val="125C471A"/>
    <w:rsid w:val="126E269F"/>
    <w:rsid w:val="12A8305E"/>
    <w:rsid w:val="12A8611D"/>
    <w:rsid w:val="12B10F0A"/>
    <w:rsid w:val="12CA1FCB"/>
    <w:rsid w:val="12E57771"/>
    <w:rsid w:val="12FC5EFD"/>
    <w:rsid w:val="130C6140"/>
    <w:rsid w:val="133B3CA6"/>
    <w:rsid w:val="13525B1D"/>
    <w:rsid w:val="13717017"/>
    <w:rsid w:val="13BC6300"/>
    <w:rsid w:val="13C94031"/>
    <w:rsid w:val="13CF0812"/>
    <w:rsid w:val="13EE6AF0"/>
    <w:rsid w:val="142474B9"/>
    <w:rsid w:val="1432532D"/>
    <w:rsid w:val="1447609C"/>
    <w:rsid w:val="144813FA"/>
    <w:rsid w:val="144C6FE7"/>
    <w:rsid w:val="14896D52"/>
    <w:rsid w:val="14942891"/>
    <w:rsid w:val="14991C55"/>
    <w:rsid w:val="14A867BA"/>
    <w:rsid w:val="14B4083D"/>
    <w:rsid w:val="14CD7B51"/>
    <w:rsid w:val="14E7475B"/>
    <w:rsid w:val="1517097B"/>
    <w:rsid w:val="15175270"/>
    <w:rsid w:val="1534197E"/>
    <w:rsid w:val="158E72E0"/>
    <w:rsid w:val="15A46B04"/>
    <w:rsid w:val="15B900D5"/>
    <w:rsid w:val="15DF7B3C"/>
    <w:rsid w:val="15E457A9"/>
    <w:rsid w:val="15F07F9B"/>
    <w:rsid w:val="164B34E1"/>
    <w:rsid w:val="165E3157"/>
    <w:rsid w:val="16612C47"/>
    <w:rsid w:val="168801D3"/>
    <w:rsid w:val="16AA5140"/>
    <w:rsid w:val="16FBB2D8"/>
    <w:rsid w:val="170F4451"/>
    <w:rsid w:val="17441DA1"/>
    <w:rsid w:val="17542220"/>
    <w:rsid w:val="179761F4"/>
    <w:rsid w:val="179E7583"/>
    <w:rsid w:val="17A81C09"/>
    <w:rsid w:val="17AE342C"/>
    <w:rsid w:val="17C23271"/>
    <w:rsid w:val="17F13B56"/>
    <w:rsid w:val="17FE0021"/>
    <w:rsid w:val="180649CC"/>
    <w:rsid w:val="181D2B9D"/>
    <w:rsid w:val="181E4380"/>
    <w:rsid w:val="18366AB4"/>
    <w:rsid w:val="18434EDA"/>
    <w:rsid w:val="187B4002"/>
    <w:rsid w:val="1910625E"/>
    <w:rsid w:val="19377E5F"/>
    <w:rsid w:val="1943335F"/>
    <w:rsid w:val="1990114D"/>
    <w:rsid w:val="19ED16E8"/>
    <w:rsid w:val="1A116732"/>
    <w:rsid w:val="1A5F124B"/>
    <w:rsid w:val="1A9B5FFB"/>
    <w:rsid w:val="1A9F5AEC"/>
    <w:rsid w:val="1AA807B0"/>
    <w:rsid w:val="1AAB623F"/>
    <w:rsid w:val="1AB84DFF"/>
    <w:rsid w:val="1ABC3B86"/>
    <w:rsid w:val="1AC15A62"/>
    <w:rsid w:val="1AD87250"/>
    <w:rsid w:val="1ADD6614"/>
    <w:rsid w:val="1B021EAC"/>
    <w:rsid w:val="1B420A0F"/>
    <w:rsid w:val="1B59213E"/>
    <w:rsid w:val="1B762CF0"/>
    <w:rsid w:val="1B860A5A"/>
    <w:rsid w:val="1B966EEF"/>
    <w:rsid w:val="1BA333BA"/>
    <w:rsid w:val="1BAB226E"/>
    <w:rsid w:val="1C241E60"/>
    <w:rsid w:val="1C451422"/>
    <w:rsid w:val="1C510B08"/>
    <w:rsid w:val="1C7D0846"/>
    <w:rsid w:val="1C844F99"/>
    <w:rsid w:val="1CA53161"/>
    <w:rsid w:val="1CFF4D07"/>
    <w:rsid w:val="1D9F5E03"/>
    <w:rsid w:val="1DA358F3"/>
    <w:rsid w:val="1DAD0F97"/>
    <w:rsid w:val="1DC43E7C"/>
    <w:rsid w:val="1DCF493A"/>
    <w:rsid w:val="1DDC0E05"/>
    <w:rsid w:val="1DE25885"/>
    <w:rsid w:val="1DEE1906"/>
    <w:rsid w:val="1E0F2F88"/>
    <w:rsid w:val="1E396257"/>
    <w:rsid w:val="1E566E09"/>
    <w:rsid w:val="1E57048B"/>
    <w:rsid w:val="1E9179DF"/>
    <w:rsid w:val="1EBF689B"/>
    <w:rsid w:val="1EC27FFB"/>
    <w:rsid w:val="1ED3045A"/>
    <w:rsid w:val="1EE60968"/>
    <w:rsid w:val="1EFB350D"/>
    <w:rsid w:val="1F0028D1"/>
    <w:rsid w:val="1F122276"/>
    <w:rsid w:val="1F5F584A"/>
    <w:rsid w:val="1F7C464D"/>
    <w:rsid w:val="1FBB612F"/>
    <w:rsid w:val="1FDF9778"/>
    <w:rsid w:val="20196410"/>
    <w:rsid w:val="202C6073"/>
    <w:rsid w:val="204D5FEA"/>
    <w:rsid w:val="205B24B5"/>
    <w:rsid w:val="20650389"/>
    <w:rsid w:val="20653865"/>
    <w:rsid w:val="20724974"/>
    <w:rsid w:val="208732AA"/>
    <w:rsid w:val="20E701EC"/>
    <w:rsid w:val="20ED1916"/>
    <w:rsid w:val="21274A8D"/>
    <w:rsid w:val="215313DE"/>
    <w:rsid w:val="21B53E47"/>
    <w:rsid w:val="220F79FB"/>
    <w:rsid w:val="2229482B"/>
    <w:rsid w:val="22462CF1"/>
    <w:rsid w:val="22D24584"/>
    <w:rsid w:val="22D447A0"/>
    <w:rsid w:val="22E03145"/>
    <w:rsid w:val="22E569AE"/>
    <w:rsid w:val="22E76282"/>
    <w:rsid w:val="23052BAC"/>
    <w:rsid w:val="232623FE"/>
    <w:rsid w:val="23607DE2"/>
    <w:rsid w:val="23626704"/>
    <w:rsid w:val="238E3BA3"/>
    <w:rsid w:val="23A2644A"/>
    <w:rsid w:val="23A3664D"/>
    <w:rsid w:val="23E80503"/>
    <w:rsid w:val="242B6642"/>
    <w:rsid w:val="24311EAA"/>
    <w:rsid w:val="24442C50"/>
    <w:rsid w:val="24E54A43"/>
    <w:rsid w:val="254038D8"/>
    <w:rsid w:val="25474819"/>
    <w:rsid w:val="257A162F"/>
    <w:rsid w:val="25956469"/>
    <w:rsid w:val="25973F8F"/>
    <w:rsid w:val="259A6743"/>
    <w:rsid w:val="259B3353"/>
    <w:rsid w:val="25A14E0E"/>
    <w:rsid w:val="26121868"/>
    <w:rsid w:val="262C582D"/>
    <w:rsid w:val="263E1E2C"/>
    <w:rsid w:val="26812549"/>
    <w:rsid w:val="26C1158E"/>
    <w:rsid w:val="26D27249"/>
    <w:rsid w:val="26D54C47"/>
    <w:rsid w:val="27135F64"/>
    <w:rsid w:val="271D6716"/>
    <w:rsid w:val="27271343"/>
    <w:rsid w:val="273A56B3"/>
    <w:rsid w:val="2744545C"/>
    <w:rsid w:val="275B16C4"/>
    <w:rsid w:val="27750300"/>
    <w:rsid w:val="27AC5543"/>
    <w:rsid w:val="27D56FF1"/>
    <w:rsid w:val="27DA086F"/>
    <w:rsid w:val="286C6BA3"/>
    <w:rsid w:val="286D0FD7"/>
    <w:rsid w:val="288F719F"/>
    <w:rsid w:val="28946B3B"/>
    <w:rsid w:val="28BE0379"/>
    <w:rsid w:val="28E16EFE"/>
    <w:rsid w:val="28ED036A"/>
    <w:rsid w:val="28F416F8"/>
    <w:rsid w:val="2916786F"/>
    <w:rsid w:val="294A2B7B"/>
    <w:rsid w:val="29DC0A3C"/>
    <w:rsid w:val="29F01EC0"/>
    <w:rsid w:val="2A1F09F7"/>
    <w:rsid w:val="2A585CB7"/>
    <w:rsid w:val="2A725FE5"/>
    <w:rsid w:val="2A8B7E3A"/>
    <w:rsid w:val="2AAD252D"/>
    <w:rsid w:val="2AB729DE"/>
    <w:rsid w:val="2AC84BEB"/>
    <w:rsid w:val="2AEC1E8B"/>
    <w:rsid w:val="2B0E3562"/>
    <w:rsid w:val="2B147E30"/>
    <w:rsid w:val="2B8C2DFF"/>
    <w:rsid w:val="2B920D55"/>
    <w:rsid w:val="2BC427BC"/>
    <w:rsid w:val="2BCA04EF"/>
    <w:rsid w:val="2BCA683F"/>
    <w:rsid w:val="2C251BC9"/>
    <w:rsid w:val="2C3B3B88"/>
    <w:rsid w:val="2C442F1C"/>
    <w:rsid w:val="2C4C2734"/>
    <w:rsid w:val="2C4D184B"/>
    <w:rsid w:val="2C7212B2"/>
    <w:rsid w:val="2CE81574"/>
    <w:rsid w:val="2CF10822"/>
    <w:rsid w:val="2D0A5B36"/>
    <w:rsid w:val="2D1F51E0"/>
    <w:rsid w:val="2D35709C"/>
    <w:rsid w:val="2D3A06A0"/>
    <w:rsid w:val="2D4A7B39"/>
    <w:rsid w:val="2D621F11"/>
    <w:rsid w:val="2D74105A"/>
    <w:rsid w:val="2D8032C9"/>
    <w:rsid w:val="2D9D410D"/>
    <w:rsid w:val="2DA07759"/>
    <w:rsid w:val="2DE0049D"/>
    <w:rsid w:val="2E0929AB"/>
    <w:rsid w:val="2E1B251B"/>
    <w:rsid w:val="2E6476BE"/>
    <w:rsid w:val="2E6E69EE"/>
    <w:rsid w:val="2E864BA1"/>
    <w:rsid w:val="2E930910"/>
    <w:rsid w:val="2E984638"/>
    <w:rsid w:val="2EA4771D"/>
    <w:rsid w:val="2EED4C20"/>
    <w:rsid w:val="2F1A59E5"/>
    <w:rsid w:val="2F320885"/>
    <w:rsid w:val="2F642A08"/>
    <w:rsid w:val="2F7215C9"/>
    <w:rsid w:val="2F7A33D3"/>
    <w:rsid w:val="2FBB6ACC"/>
    <w:rsid w:val="2FCA4F61"/>
    <w:rsid w:val="301461DC"/>
    <w:rsid w:val="307849BD"/>
    <w:rsid w:val="308928A7"/>
    <w:rsid w:val="308E41E1"/>
    <w:rsid w:val="30DC47B7"/>
    <w:rsid w:val="30FA690C"/>
    <w:rsid w:val="312F0409"/>
    <w:rsid w:val="3149291E"/>
    <w:rsid w:val="315E7BB3"/>
    <w:rsid w:val="318C6F4C"/>
    <w:rsid w:val="31B163D9"/>
    <w:rsid w:val="31CD2AE7"/>
    <w:rsid w:val="31E14E3B"/>
    <w:rsid w:val="322B4EB9"/>
    <w:rsid w:val="324059AE"/>
    <w:rsid w:val="327318E0"/>
    <w:rsid w:val="32D700C1"/>
    <w:rsid w:val="32E60ABA"/>
    <w:rsid w:val="32EE0F67"/>
    <w:rsid w:val="33272C01"/>
    <w:rsid w:val="33274478"/>
    <w:rsid w:val="3341553A"/>
    <w:rsid w:val="336F654B"/>
    <w:rsid w:val="33B45D0C"/>
    <w:rsid w:val="33FB52BF"/>
    <w:rsid w:val="341727DA"/>
    <w:rsid w:val="3422536C"/>
    <w:rsid w:val="34285A17"/>
    <w:rsid w:val="34316819"/>
    <w:rsid w:val="34721473"/>
    <w:rsid w:val="34A17A33"/>
    <w:rsid w:val="34CB5A03"/>
    <w:rsid w:val="34DC5D6B"/>
    <w:rsid w:val="34E97C37"/>
    <w:rsid w:val="35335914"/>
    <w:rsid w:val="35586B6B"/>
    <w:rsid w:val="35647C06"/>
    <w:rsid w:val="356B4AF0"/>
    <w:rsid w:val="35766452"/>
    <w:rsid w:val="357C0AAC"/>
    <w:rsid w:val="35B2271F"/>
    <w:rsid w:val="35C10BB4"/>
    <w:rsid w:val="35FB77CA"/>
    <w:rsid w:val="362F5B1E"/>
    <w:rsid w:val="364C66D0"/>
    <w:rsid w:val="36AA2B75"/>
    <w:rsid w:val="36BC1539"/>
    <w:rsid w:val="36C721FA"/>
    <w:rsid w:val="36DD1A1E"/>
    <w:rsid w:val="36F87A99"/>
    <w:rsid w:val="36FC068F"/>
    <w:rsid w:val="3726286D"/>
    <w:rsid w:val="373C4996"/>
    <w:rsid w:val="37661A13"/>
    <w:rsid w:val="37773C20"/>
    <w:rsid w:val="377A101B"/>
    <w:rsid w:val="3787198A"/>
    <w:rsid w:val="37895702"/>
    <w:rsid w:val="37967A1C"/>
    <w:rsid w:val="379C3687"/>
    <w:rsid w:val="37A442EA"/>
    <w:rsid w:val="37CB536B"/>
    <w:rsid w:val="37F45271"/>
    <w:rsid w:val="386817BB"/>
    <w:rsid w:val="387B329C"/>
    <w:rsid w:val="38CA1FBC"/>
    <w:rsid w:val="38E54BBA"/>
    <w:rsid w:val="391159AF"/>
    <w:rsid w:val="39180AEB"/>
    <w:rsid w:val="3936665A"/>
    <w:rsid w:val="394F0285"/>
    <w:rsid w:val="39644A2A"/>
    <w:rsid w:val="399379B2"/>
    <w:rsid w:val="39966F3E"/>
    <w:rsid w:val="39A607ED"/>
    <w:rsid w:val="39AE31FE"/>
    <w:rsid w:val="39F94DC1"/>
    <w:rsid w:val="3A26548A"/>
    <w:rsid w:val="3A9003F2"/>
    <w:rsid w:val="3A976388"/>
    <w:rsid w:val="3AAC5508"/>
    <w:rsid w:val="3AC802EF"/>
    <w:rsid w:val="3ACC4283"/>
    <w:rsid w:val="3B4958D4"/>
    <w:rsid w:val="3BBD03F4"/>
    <w:rsid w:val="3BC65A96"/>
    <w:rsid w:val="3BD31641"/>
    <w:rsid w:val="3BE15B0C"/>
    <w:rsid w:val="3BFF2C3E"/>
    <w:rsid w:val="3C047A4D"/>
    <w:rsid w:val="3C2B322B"/>
    <w:rsid w:val="3C4147FD"/>
    <w:rsid w:val="3C5F3E57"/>
    <w:rsid w:val="3C6B7ACC"/>
    <w:rsid w:val="3C931926"/>
    <w:rsid w:val="3CD4741F"/>
    <w:rsid w:val="3CEA7217"/>
    <w:rsid w:val="3D202BCA"/>
    <w:rsid w:val="3D2645C0"/>
    <w:rsid w:val="3D401E19"/>
    <w:rsid w:val="3D683537"/>
    <w:rsid w:val="3D7A5B4B"/>
    <w:rsid w:val="3D7B1A05"/>
    <w:rsid w:val="3DAF5796"/>
    <w:rsid w:val="3DE33F6B"/>
    <w:rsid w:val="3E042CB3"/>
    <w:rsid w:val="3E225848"/>
    <w:rsid w:val="3E281D66"/>
    <w:rsid w:val="3E6B3DB3"/>
    <w:rsid w:val="3E802B5B"/>
    <w:rsid w:val="3E8751F4"/>
    <w:rsid w:val="3F012022"/>
    <w:rsid w:val="3F2F4DE1"/>
    <w:rsid w:val="3F516B05"/>
    <w:rsid w:val="3F62064C"/>
    <w:rsid w:val="3F7647BE"/>
    <w:rsid w:val="3F8073EA"/>
    <w:rsid w:val="3F9D7F9C"/>
    <w:rsid w:val="3FA70E1B"/>
    <w:rsid w:val="3FED6268"/>
    <w:rsid w:val="3FEDC342"/>
    <w:rsid w:val="3FF64374"/>
    <w:rsid w:val="401376FA"/>
    <w:rsid w:val="405A0737"/>
    <w:rsid w:val="406C133E"/>
    <w:rsid w:val="40980764"/>
    <w:rsid w:val="40B732E0"/>
    <w:rsid w:val="40BE01CA"/>
    <w:rsid w:val="40DA6FCE"/>
    <w:rsid w:val="40DE55AE"/>
    <w:rsid w:val="40F75247"/>
    <w:rsid w:val="4119640E"/>
    <w:rsid w:val="41210759"/>
    <w:rsid w:val="41361918"/>
    <w:rsid w:val="41782A6F"/>
    <w:rsid w:val="41A21103"/>
    <w:rsid w:val="41E015A4"/>
    <w:rsid w:val="41F93484"/>
    <w:rsid w:val="421A2E97"/>
    <w:rsid w:val="423F576B"/>
    <w:rsid w:val="427174BE"/>
    <w:rsid w:val="428D254A"/>
    <w:rsid w:val="42AB6E74"/>
    <w:rsid w:val="42F00D2B"/>
    <w:rsid w:val="42F92F33"/>
    <w:rsid w:val="431A1904"/>
    <w:rsid w:val="43763B0B"/>
    <w:rsid w:val="438622C5"/>
    <w:rsid w:val="43A23DD3"/>
    <w:rsid w:val="43B117D6"/>
    <w:rsid w:val="43B12268"/>
    <w:rsid w:val="43BD2088"/>
    <w:rsid w:val="43C20EE5"/>
    <w:rsid w:val="440C6F05"/>
    <w:rsid w:val="441A54D9"/>
    <w:rsid w:val="4436276D"/>
    <w:rsid w:val="444634F5"/>
    <w:rsid w:val="444E5D09"/>
    <w:rsid w:val="44550E45"/>
    <w:rsid w:val="446217B4"/>
    <w:rsid w:val="44703ED1"/>
    <w:rsid w:val="4475773A"/>
    <w:rsid w:val="449000D0"/>
    <w:rsid w:val="44BA794A"/>
    <w:rsid w:val="44D426B2"/>
    <w:rsid w:val="45097E82"/>
    <w:rsid w:val="45232CF2"/>
    <w:rsid w:val="45254284"/>
    <w:rsid w:val="452B1BA6"/>
    <w:rsid w:val="45563B4C"/>
    <w:rsid w:val="45796DB6"/>
    <w:rsid w:val="45CB4971"/>
    <w:rsid w:val="45F73BFF"/>
    <w:rsid w:val="45FE72BB"/>
    <w:rsid w:val="461229C6"/>
    <w:rsid w:val="46144D30"/>
    <w:rsid w:val="463C09B7"/>
    <w:rsid w:val="466E61EE"/>
    <w:rsid w:val="46A41E3A"/>
    <w:rsid w:val="46D63D94"/>
    <w:rsid w:val="46F96400"/>
    <w:rsid w:val="470628CB"/>
    <w:rsid w:val="47134FE8"/>
    <w:rsid w:val="4723522B"/>
    <w:rsid w:val="47263476"/>
    <w:rsid w:val="475B65E9"/>
    <w:rsid w:val="47743CD8"/>
    <w:rsid w:val="47767A51"/>
    <w:rsid w:val="47D50B06"/>
    <w:rsid w:val="47DD7AD0"/>
    <w:rsid w:val="481903DC"/>
    <w:rsid w:val="485E2293"/>
    <w:rsid w:val="490B2AF0"/>
    <w:rsid w:val="4918213C"/>
    <w:rsid w:val="49207DC7"/>
    <w:rsid w:val="49684B31"/>
    <w:rsid w:val="49A14B2D"/>
    <w:rsid w:val="49BC54C3"/>
    <w:rsid w:val="49C32CF5"/>
    <w:rsid w:val="49E1317B"/>
    <w:rsid w:val="4A2E7CBC"/>
    <w:rsid w:val="4A660114"/>
    <w:rsid w:val="4A6923B5"/>
    <w:rsid w:val="4ADA03EF"/>
    <w:rsid w:val="4B107C37"/>
    <w:rsid w:val="4B1F03FF"/>
    <w:rsid w:val="4B35377F"/>
    <w:rsid w:val="4B3A6FE7"/>
    <w:rsid w:val="4B3B68BB"/>
    <w:rsid w:val="4B5B6ED2"/>
    <w:rsid w:val="4B7A3887"/>
    <w:rsid w:val="4BA95F1B"/>
    <w:rsid w:val="4BE64A79"/>
    <w:rsid w:val="4BEC797C"/>
    <w:rsid w:val="4C13731F"/>
    <w:rsid w:val="4C1A4723"/>
    <w:rsid w:val="4C8207A3"/>
    <w:rsid w:val="4C8F3CB7"/>
    <w:rsid w:val="4CB525DD"/>
    <w:rsid w:val="4CD3324F"/>
    <w:rsid w:val="4CDB2104"/>
    <w:rsid w:val="4CE87A1F"/>
    <w:rsid w:val="4D0B3391"/>
    <w:rsid w:val="4D14218C"/>
    <w:rsid w:val="4D294D99"/>
    <w:rsid w:val="4D551EB6"/>
    <w:rsid w:val="4D9C7768"/>
    <w:rsid w:val="4DAE5A6A"/>
    <w:rsid w:val="4DB03590"/>
    <w:rsid w:val="4DBC0187"/>
    <w:rsid w:val="4DD454D1"/>
    <w:rsid w:val="4DE13DC5"/>
    <w:rsid w:val="4DE167DD"/>
    <w:rsid w:val="4DE44FE8"/>
    <w:rsid w:val="4E2468B8"/>
    <w:rsid w:val="4E315298"/>
    <w:rsid w:val="4E6A7BE3"/>
    <w:rsid w:val="4E751761"/>
    <w:rsid w:val="4EB32846"/>
    <w:rsid w:val="4EF929FE"/>
    <w:rsid w:val="4EFC0A88"/>
    <w:rsid w:val="4F1A33B7"/>
    <w:rsid w:val="4F1B52F5"/>
    <w:rsid w:val="4F367AC5"/>
    <w:rsid w:val="4F412C02"/>
    <w:rsid w:val="4F4977F9"/>
    <w:rsid w:val="4F7306F5"/>
    <w:rsid w:val="4F7A3E56"/>
    <w:rsid w:val="4F7F146C"/>
    <w:rsid w:val="5001466E"/>
    <w:rsid w:val="50642410"/>
    <w:rsid w:val="506A3ECB"/>
    <w:rsid w:val="506A5C79"/>
    <w:rsid w:val="50CC0757"/>
    <w:rsid w:val="510065DD"/>
    <w:rsid w:val="51282DB0"/>
    <w:rsid w:val="513D513B"/>
    <w:rsid w:val="51A647D1"/>
    <w:rsid w:val="52233879"/>
    <w:rsid w:val="52262073"/>
    <w:rsid w:val="523D453F"/>
    <w:rsid w:val="524A3FB4"/>
    <w:rsid w:val="5251113A"/>
    <w:rsid w:val="525A3ACB"/>
    <w:rsid w:val="532F6D06"/>
    <w:rsid w:val="53370074"/>
    <w:rsid w:val="533C1422"/>
    <w:rsid w:val="533D58C6"/>
    <w:rsid w:val="537E739A"/>
    <w:rsid w:val="538E7ED0"/>
    <w:rsid w:val="53D855EF"/>
    <w:rsid w:val="53DC50DF"/>
    <w:rsid w:val="543C5B7E"/>
    <w:rsid w:val="546C6D1F"/>
    <w:rsid w:val="548B2661"/>
    <w:rsid w:val="549D56F9"/>
    <w:rsid w:val="549F610D"/>
    <w:rsid w:val="54FD0A7F"/>
    <w:rsid w:val="5503254D"/>
    <w:rsid w:val="55967510"/>
    <w:rsid w:val="55DB3175"/>
    <w:rsid w:val="55E206B3"/>
    <w:rsid w:val="55E91F5E"/>
    <w:rsid w:val="55F873F7"/>
    <w:rsid w:val="560B3A5A"/>
    <w:rsid w:val="56A17F1A"/>
    <w:rsid w:val="56D737F9"/>
    <w:rsid w:val="56FF2E93"/>
    <w:rsid w:val="57007337"/>
    <w:rsid w:val="570566FB"/>
    <w:rsid w:val="570A1F63"/>
    <w:rsid w:val="5718669A"/>
    <w:rsid w:val="573174F0"/>
    <w:rsid w:val="573D15CA"/>
    <w:rsid w:val="57476D14"/>
    <w:rsid w:val="575E3FB3"/>
    <w:rsid w:val="57672F12"/>
    <w:rsid w:val="57970874"/>
    <w:rsid w:val="57A31A70"/>
    <w:rsid w:val="57CA4760"/>
    <w:rsid w:val="57F347A6"/>
    <w:rsid w:val="5805272B"/>
    <w:rsid w:val="580764A3"/>
    <w:rsid w:val="58353010"/>
    <w:rsid w:val="58522852"/>
    <w:rsid w:val="58647451"/>
    <w:rsid w:val="58B26EC7"/>
    <w:rsid w:val="58D72319"/>
    <w:rsid w:val="58F22CAF"/>
    <w:rsid w:val="58F63137"/>
    <w:rsid w:val="59480B21"/>
    <w:rsid w:val="5949650D"/>
    <w:rsid w:val="5963158C"/>
    <w:rsid w:val="59760128"/>
    <w:rsid w:val="599D12DF"/>
    <w:rsid w:val="59C06909"/>
    <w:rsid w:val="59E6065E"/>
    <w:rsid w:val="5A1629CD"/>
    <w:rsid w:val="5A1B4488"/>
    <w:rsid w:val="5A1E1882"/>
    <w:rsid w:val="5A1F25C7"/>
    <w:rsid w:val="5A486232"/>
    <w:rsid w:val="5A4A5AF5"/>
    <w:rsid w:val="5A4B3A12"/>
    <w:rsid w:val="5A5B2AD6"/>
    <w:rsid w:val="5A816A9E"/>
    <w:rsid w:val="5AA32F2A"/>
    <w:rsid w:val="5AA4447D"/>
    <w:rsid w:val="5ABA17E4"/>
    <w:rsid w:val="5ABD6BA3"/>
    <w:rsid w:val="5ABF613D"/>
    <w:rsid w:val="5AC62DF4"/>
    <w:rsid w:val="5AE12FDB"/>
    <w:rsid w:val="5AF251E8"/>
    <w:rsid w:val="5AFF7905"/>
    <w:rsid w:val="5B060B3A"/>
    <w:rsid w:val="5B8C73EB"/>
    <w:rsid w:val="5B90055D"/>
    <w:rsid w:val="5BCFBEFA"/>
    <w:rsid w:val="5BD40D92"/>
    <w:rsid w:val="5C0276AD"/>
    <w:rsid w:val="5C56349B"/>
    <w:rsid w:val="5C9B540C"/>
    <w:rsid w:val="5C9B6914"/>
    <w:rsid w:val="5CB36BF9"/>
    <w:rsid w:val="5CCB5CF1"/>
    <w:rsid w:val="5D0C00B7"/>
    <w:rsid w:val="5D323FC2"/>
    <w:rsid w:val="5D4B0BE0"/>
    <w:rsid w:val="5D4B6E32"/>
    <w:rsid w:val="5D956FF3"/>
    <w:rsid w:val="5DA14CA4"/>
    <w:rsid w:val="5DBF5C0A"/>
    <w:rsid w:val="5DE43074"/>
    <w:rsid w:val="5DF41277"/>
    <w:rsid w:val="5DFE5C52"/>
    <w:rsid w:val="5E2558D5"/>
    <w:rsid w:val="5E4B16FA"/>
    <w:rsid w:val="5E543AC4"/>
    <w:rsid w:val="5E5E4943"/>
    <w:rsid w:val="5E604B5F"/>
    <w:rsid w:val="5EB50A07"/>
    <w:rsid w:val="5EC818D1"/>
    <w:rsid w:val="5F1C0EB4"/>
    <w:rsid w:val="5F1D035A"/>
    <w:rsid w:val="5F6366B5"/>
    <w:rsid w:val="5F645F89"/>
    <w:rsid w:val="5FAF875C"/>
    <w:rsid w:val="5FBC0587"/>
    <w:rsid w:val="5FD2383A"/>
    <w:rsid w:val="5FE570CA"/>
    <w:rsid w:val="5FFBDC7B"/>
    <w:rsid w:val="5FFC5BC2"/>
    <w:rsid w:val="602C4CF9"/>
    <w:rsid w:val="60692C88"/>
    <w:rsid w:val="609C15A0"/>
    <w:rsid w:val="60A26DEB"/>
    <w:rsid w:val="60AD6EA0"/>
    <w:rsid w:val="60C211B9"/>
    <w:rsid w:val="61040DDC"/>
    <w:rsid w:val="612D18A0"/>
    <w:rsid w:val="614B4ACA"/>
    <w:rsid w:val="615838CB"/>
    <w:rsid w:val="615C160D"/>
    <w:rsid w:val="618669D1"/>
    <w:rsid w:val="61A30FEA"/>
    <w:rsid w:val="61A60ADB"/>
    <w:rsid w:val="62231FBA"/>
    <w:rsid w:val="624665A5"/>
    <w:rsid w:val="625422E5"/>
    <w:rsid w:val="62662018"/>
    <w:rsid w:val="628C7CD0"/>
    <w:rsid w:val="6299063F"/>
    <w:rsid w:val="62BB05B6"/>
    <w:rsid w:val="62BE2E26"/>
    <w:rsid w:val="62F12229"/>
    <w:rsid w:val="630C48EC"/>
    <w:rsid w:val="63402869"/>
    <w:rsid w:val="637F5A87"/>
    <w:rsid w:val="63807109"/>
    <w:rsid w:val="63911317"/>
    <w:rsid w:val="63C57BFC"/>
    <w:rsid w:val="63DF02D4"/>
    <w:rsid w:val="63F800F4"/>
    <w:rsid w:val="63FD075A"/>
    <w:rsid w:val="64033FC2"/>
    <w:rsid w:val="642F544C"/>
    <w:rsid w:val="645446EA"/>
    <w:rsid w:val="645B0956"/>
    <w:rsid w:val="6468666D"/>
    <w:rsid w:val="64836EB1"/>
    <w:rsid w:val="64A05CB5"/>
    <w:rsid w:val="64C86FBA"/>
    <w:rsid w:val="64F83738"/>
    <w:rsid w:val="64FE5585"/>
    <w:rsid w:val="65405B73"/>
    <w:rsid w:val="65510D5D"/>
    <w:rsid w:val="65C854C3"/>
    <w:rsid w:val="65EF30FE"/>
    <w:rsid w:val="66033642"/>
    <w:rsid w:val="660B3602"/>
    <w:rsid w:val="661A55F3"/>
    <w:rsid w:val="665C2657"/>
    <w:rsid w:val="666429AA"/>
    <w:rsid w:val="66884C53"/>
    <w:rsid w:val="67550FD9"/>
    <w:rsid w:val="67627252"/>
    <w:rsid w:val="676463C0"/>
    <w:rsid w:val="678E16D0"/>
    <w:rsid w:val="679631B0"/>
    <w:rsid w:val="67BF28F6"/>
    <w:rsid w:val="67C82386"/>
    <w:rsid w:val="67CE48E7"/>
    <w:rsid w:val="67E73BFB"/>
    <w:rsid w:val="680926AC"/>
    <w:rsid w:val="683E1A6D"/>
    <w:rsid w:val="68605EEA"/>
    <w:rsid w:val="686F65EC"/>
    <w:rsid w:val="687011B3"/>
    <w:rsid w:val="68755967"/>
    <w:rsid w:val="687922FA"/>
    <w:rsid w:val="687C1304"/>
    <w:rsid w:val="68863282"/>
    <w:rsid w:val="689E250C"/>
    <w:rsid w:val="68A51AEC"/>
    <w:rsid w:val="68B327D3"/>
    <w:rsid w:val="68DB3760"/>
    <w:rsid w:val="690F51B7"/>
    <w:rsid w:val="69272501"/>
    <w:rsid w:val="6948013B"/>
    <w:rsid w:val="694D7B54"/>
    <w:rsid w:val="697257F6"/>
    <w:rsid w:val="69913E1E"/>
    <w:rsid w:val="69D106BF"/>
    <w:rsid w:val="69D56401"/>
    <w:rsid w:val="69E331D0"/>
    <w:rsid w:val="6A0171F6"/>
    <w:rsid w:val="6A126C20"/>
    <w:rsid w:val="6A7774B8"/>
    <w:rsid w:val="6A9F256B"/>
    <w:rsid w:val="6ABD413D"/>
    <w:rsid w:val="6ADE3093"/>
    <w:rsid w:val="6AF40B09"/>
    <w:rsid w:val="6AFFCE1C"/>
    <w:rsid w:val="6B1C3BBC"/>
    <w:rsid w:val="6B234F4A"/>
    <w:rsid w:val="6B791801"/>
    <w:rsid w:val="6B8C0D18"/>
    <w:rsid w:val="6B99750F"/>
    <w:rsid w:val="6BAE0CB8"/>
    <w:rsid w:val="6C4909E0"/>
    <w:rsid w:val="6C7353BC"/>
    <w:rsid w:val="6C79791D"/>
    <w:rsid w:val="6CBE5332"/>
    <w:rsid w:val="6CCF5389"/>
    <w:rsid w:val="6CE34991"/>
    <w:rsid w:val="6CFA39F2"/>
    <w:rsid w:val="6D2D20B0"/>
    <w:rsid w:val="6D633D24"/>
    <w:rsid w:val="6D7442E5"/>
    <w:rsid w:val="6E0258B9"/>
    <w:rsid w:val="6E146DCC"/>
    <w:rsid w:val="6E22598D"/>
    <w:rsid w:val="6E9D582D"/>
    <w:rsid w:val="6EB16F6E"/>
    <w:rsid w:val="6EC425A0"/>
    <w:rsid w:val="6ED07197"/>
    <w:rsid w:val="6ED30A35"/>
    <w:rsid w:val="6EDF5173"/>
    <w:rsid w:val="6EF015E7"/>
    <w:rsid w:val="6F060E0B"/>
    <w:rsid w:val="6F4162E7"/>
    <w:rsid w:val="6F503DBF"/>
    <w:rsid w:val="6F616041"/>
    <w:rsid w:val="6F685621"/>
    <w:rsid w:val="6F927E36"/>
    <w:rsid w:val="6F99623C"/>
    <w:rsid w:val="6FA6668B"/>
    <w:rsid w:val="6FB940CF"/>
    <w:rsid w:val="6FEF7AF1"/>
    <w:rsid w:val="6FF70753"/>
    <w:rsid w:val="6FFE5F86"/>
    <w:rsid w:val="700B573B"/>
    <w:rsid w:val="7012558D"/>
    <w:rsid w:val="706D22F9"/>
    <w:rsid w:val="707B3132"/>
    <w:rsid w:val="70A8705E"/>
    <w:rsid w:val="70B14278"/>
    <w:rsid w:val="70BC0AB7"/>
    <w:rsid w:val="711F7F62"/>
    <w:rsid w:val="7121017E"/>
    <w:rsid w:val="7169742F"/>
    <w:rsid w:val="718F50E7"/>
    <w:rsid w:val="722D66AE"/>
    <w:rsid w:val="7271448E"/>
    <w:rsid w:val="72726A36"/>
    <w:rsid w:val="728B1D53"/>
    <w:rsid w:val="72A414C0"/>
    <w:rsid w:val="72AF5EFB"/>
    <w:rsid w:val="72B0293D"/>
    <w:rsid w:val="72BA1C74"/>
    <w:rsid w:val="72C93C83"/>
    <w:rsid w:val="73480F08"/>
    <w:rsid w:val="73607BE6"/>
    <w:rsid w:val="736B2CCA"/>
    <w:rsid w:val="73972979"/>
    <w:rsid w:val="73D019E7"/>
    <w:rsid w:val="73F43B4B"/>
    <w:rsid w:val="74081181"/>
    <w:rsid w:val="7417146C"/>
    <w:rsid w:val="74253AE1"/>
    <w:rsid w:val="7429582C"/>
    <w:rsid w:val="74312486"/>
    <w:rsid w:val="744D0862"/>
    <w:rsid w:val="74850A24"/>
    <w:rsid w:val="74C4154C"/>
    <w:rsid w:val="74C652C4"/>
    <w:rsid w:val="750202C6"/>
    <w:rsid w:val="75062D05"/>
    <w:rsid w:val="75167023"/>
    <w:rsid w:val="752972CF"/>
    <w:rsid w:val="75472D8D"/>
    <w:rsid w:val="75565D41"/>
    <w:rsid w:val="75644ADD"/>
    <w:rsid w:val="75B555D9"/>
    <w:rsid w:val="7614205F"/>
    <w:rsid w:val="762340C6"/>
    <w:rsid w:val="763D3B4D"/>
    <w:rsid w:val="765A280D"/>
    <w:rsid w:val="765E777E"/>
    <w:rsid w:val="76961786"/>
    <w:rsid w:val="76AA29C3"/>
    <w:rsid w:val="76AF247D"/>
    <w:rsid w:val="76C30980"/>
    <w:rsid w:val="76CE656D"/>
    <w:rsid w:val="76D661A1"/>
    <w:rsid w:val="772F0D4F"/>
    <w:rsid w:val="77493F8A"/>
    <w:rsid w:val="77768EA8"/>
    <w:rsid w:val="777C7EBC"/>
    <w:rsid w:val="777F7DA9"/>
    <w:rsid w:val="77C35AEB"/>
    <w:rsid w:val="77C93D96"/>
    <w:rsid w:val="77DFFAD1"/>
    <w:rsid w:val="77E617D9"/>
    <w:rsid w:val="77FA6202"/>
    <w:rsid w:val="78144598"/>
    <w:rsid w:val="783C3AEF"/>
    <w:rsid w:val="78564BB1"/>
    <w:rsid w:val="786372CE"/>
    <w:rsid w:val="78852686"/>
    <w:rsid w:val="78882890"/>
    <w:rsid w:val="79202AC9"/>
    <w:rsid w:val="79400193"/>
    <w:rsid w:val="794B6EF7"/>
    <w:rsid w:val="796C31B8"/>
    <w:rsid w:val="79792D56"/>
    <w:rsid w:val="797D616D"/>
    <w:rsid w:val="798B6F10"/>
    <w:rsid w:val="799A0ACD"/>
    <w:rsid w:val="79EE4DDF"/>
    <w:rsid w:val="7A543209"/>
    <w:rsid w:val="7A74066E"/>
    <w:rsid w:val="7A957C11"/>
    <w:rsid w:val="7AA339B1"/>
    <w:rsid w:val="7AB91427"/>
    <w:rsid w:val="7ACF310D"/>
    <w:rsid w:val="7ADF33E3"/>
    <w:rsid w:val="7AFF32B2"/>
    <w:rsid w:val="7B334D35"/>
    <w:rsid w:val="7B66335D"/>
    <w:rsid w:val="7B7D4202"/>
    <w:rsid w:val="7B9652C4"/>
    <w:rsid w:val="7B9D6653"/>
    <w:rsid w:val="7BAE07F2"/>
    <w:rsid w:val="7BB7BBBD"/>
    <w:rsid w:val="7BDF773E"/>
    <w:rsid w:val="7C1F175E"/>
    <w:rsid w:val="7C86506C"/>
    <w:rsid w:val="7CB023B6"/>
    <w:rsid w:val="7CB400F8"/>
    <w:rsid w:val="7CBB3234"/>
    <w:rsid w:val="7D060228"/>
    <w:rsid w:val="7D2376F2"/>
    <w:rsid w:val="7D337C89"/>
    <w:rsid w:val="7D4C6582"/>
    <w:rsid w:val="7D8A0E59"/>
    <w:rsid w:val="7DB80DA2"/>
    <w:rsid w:val="7DBF4FA6"/>
    <w:rsid w:val="7DC651C8"/>
    <w:rsid w:val="7DC83905"/>
    <w:rsid w:val="7DD5FE74"/>
    <w:rsid w:val="7DFC3B04"/>
    <w:rsid w:val="7DFC3B42"/>
    <w:rsid w:val="7DFF880D"/>
    <w:rsid w:val="7E353C4D"/>
    <w:rsid w:val="7E4454AB"/>
    <w:rsid w:val="7E5971A9"/>
    <w:rsid w:val="7E7538B7"/>
    <w:rsid w:val="7E926217"/>
    <w:rsid w:val="7E9C2B2A"/>
    <w:rsid w:val="7ED246B2"/>
    <w:rsid w:val="7F3217A8"/>
    <w:rsid w:val="7F3D2627"/>
    <w:rsid w:val="7F583CA8"/>
    <w:rsid w:val="7F5F6901"/>
    <w:rsid w:val="7F681A51"/>
    <w:rsid w:val="7F6A7194"/>
    <w:rsid w:val="7FB7CC7B"/>
    <w:rsid w:val="7FBF303C"/>
    <w:rsid w:val="7FCF6FF7"/>
    <w:rsid w:val="7FE9455C"/>
    <w:rsid w:val="7FF7C71E"/>
    <w:rsid w:val="7FFFC4A7"/>
    <w:rsid w:val="89DFBF2A"/>
    <w:rsid w:val="93F54DDD"/>
    <w:rsid w:val="9EFF0B64"/>
    <w:rsid w:val="9FDD4387"/>
    <w:rsid w:val="9FEB8BD9"/>
    <w:rsid w:val="AFAAE5FF"/>
    <w:rsid w:val="BEAF8244"/>
    <w:rsid w:val="BF3F8CAF"/>
    <w:rsid w:val="C7DE3745"/>
    <w:rsid w:val="DCCB93E2"/>
    <w:rsid w:val="DF7B59C2"/>
    <w:rsid w:val="E1FBF14B"/>
    <w:rsid w:val="E7DF81EB"/>
    <w:rsid w:val="EBEC75FB"/>
    <w:rsid w:val="EDCBA2CB"/>
    <w:rsid w:val="EFE66E24"/>
    <w:rsid w:val="F5FF7A82"/>
    <w:rsid w:val="F7FB9123"/>
    <w:rsid w:val="F9BAB811"/>
    <w:rsid w:val="FB3E5588"/>
    <w:rsid w:val="FDFBEED4"/>
    <w:rsid w:val="FE3F2846"/>
    <w:rsid w:val="FE7C0A7E"/>
    <w:rsid w:val="FE7F936E"/>
    <w:rsid w:val="FEFC161E"/>
    <w:rsid w:val="FFD795B5"/>
    <w:rsid w:val="FFFF74D6"/>
    <w:rsid w:val="FFFFC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qFormat="1" w:uiPriority="39" w:semiHidden="0"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4"/>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qFormat/>
    <w:uiPriority w:val="9"/>
    <w:pPr>
      <w:keepNext/>
      <w:keepLines/>
      <w:autoSpaceDE w:val="0"/>
      <w:autoSpaceDN w:val="0"/>
      <w:adjustRightInd w:val="0"/>
      <w:spacing w:before="360" w:after="120"/>
      <w:jc w:val="left"/>
      <w:outlineLvl w:val="2"/>
    </w:pPr>
    <w:rPr>
      <w:rFonts w:ascii="宋体"/>
      <w:b/>
      <w:szCs w:val="20"/>
      <w:u w:val="single"/>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1"/>
    </w:rPr>
  </w:style>
  <w:style w:type="paragraph" w:styleId="7">
    <w:name w:val="toc 7"/>
    <w:basedOn w:val="1"/>
    <w:next w:val="1"/>
    <w:unhideWhenUsed/>
    <w:qFormat/>
    <w:uiPriority w:val="39"/>
    <w:pPr>
      <w:ind w:left="1260"/>
      <w:jc w:val="left"/>
    </w:pPr>
    <w:rPr>
      <w:sz w:val="18"/>
      <w:szCs w:val="18"/>
    </w:rPr>
  </w:style>
  <w:style w:type="paragraph" w:styleId="8">
    <w:name w:val="Document Map"/>
    <w:basedOn w:val="1"/>
    <w:link w:val="44"/>
    <w:unhideWhenUsed/>
    <w:qFormat/>
    <w:uiPriority w:val="99"/>
    <w:rPr>
      <w:rFonts w:ascii="宋体"/>
      <w:sz w:val="18"/>
      <w:szCs w:val="18"/>
    </w:rPr>
  </w:style>
  <w:style w:type="paragraph" w:styleId="9">
    <w:name w:val="annotation text"/>
    <w:basedOn w:val="1"/>
    <w:link w:val="45"/>
    <w:unhideWhenUsed/>
    <w:qFormat/>
    <w:uiPriority w:val="99"/>
    <w:pPr>
      <w:jc w:val="left"/>
    </w:pPr>
  </w:style>
  <w:style w:type="paragraph" w:styleId="10">
    <w:name w:val="Body Text"/>
    <w:basedOn w:val="1"/>
    <w:next w:val="1"/>
    <w:link w:val="36"/>
    <w:qFormat/>
    <w:uiPriority w:val="99"/>
    <w:pPr>
      <w:spacing w:after="120"/>
    </w:pPr>
  </w:style>
  <w:style w:type="paragraph" w:styleId="11">
    <w:name w:val="Body Text Indent"/>
    <w:basedOn w:val="1"/>
    <w:next w:val="1"/>
    <w:qFormat/>
    <w:uiPriority w:val="0"/>
    <w:pPr>
      <w:spacing w:after="120"/>
      <w:ind w:left="420"/>
    </w:pPr>
    <w:rPr>
      <w:rFonts w:ascii="Calibri" w:hAnsi="Calibri"/>
    </w:rPr>
  </w:style>
  <w:style w:type="paragraph" w:styleId="12">
    <w:name w:val="index 4"/>
    <w:basedOn w:val="1"/>
    <w:next w:val="1"/>
    <w:unhideWhenUsed/>
    <w:qFormat/>
    <w:uiPriority w:val="99"/>
    <w:pPr>
      <w:ind w:firstLine="200" w:firstLineChars="200"/>
    </w:pPr>
  </w:style>
  <w:style w:type="paragraph" w:styleId="13">
    <w:name w:val="Plain Text"/>
    <w:basedOn w:val="1"/>
    <w:qFormat/>
    <w:uiPriority w:val="99"/>
    <w:rPr>
      <w:rFonts w:ascii="宋体" w:hAnsi="Courier New"/>
      <w:szCs w:val="21"/>
    </w:rPr>
  </w:style>
  <w:style w:type="paragraph" w:styleId="14">
    <w:name w:val="Body Text Indent 2"/>
    <w:basedOn w:val="1"/>
    <w:qFormat/>
    <w:uiPriority w:val="0"/>
    <w:pPr>
      <w:spacing w:after="120" w:line="480" w:lineRule="auto"/>
      <w:ind w:left="420" w:leftChars="200"/>
    </w:pPr>
  </w:style>
  <w:style w:type="paragraph" w:styleId="15">
    <w:name w:val="Balloon Text"/>
    <w:basedOn w:val="1"/>
    <w:link w:val="43"/>
    <w:semiHidden/>
    <w:unhideWhenUsed/>
    <w:qFormat/>
    <w:uiPriority w:val="99"/>
    <w:rPr>
      <w:sz w:val="18"/>
      <w:szCs w:val="18"/>
    </w:rPr>
  </w:style>
  <w:style w:type="paragraph" w:styleId="16">
    <w:name w:val="footer"/>
    <w:basedOn w:val="1"/>
    <w:link w:val="42"/>
    <w:unhideWhenUsed/>
    <w:qFormat/>
    <w:uiPriority w:val="99"/>
    <w:pPr>
      <w:tabs>
        <w:tab w:val="center" w:pos="4153"/>
        <w:tab w:val="right" w:pos="8306"/>
      </w:tabs>
      <w:snapToGrid w:val="0"/>
      <w:jc w:val="left"/>
    </w:pPr>
    <w:rPr>
      <w:sz w:val="18"/>
      <w:szCs w:val="18"/>
    </w:rPr>
  </w:style>
  <w:style w:type="paragraph" w:styleId="17">
    <w:name w:val="envelope return"/>
    <w:basedOn w:val="1"/>
    <w:qFormat/>
    <w:uiPriority w:val="0"/>
  </w:style>
  <w:style w:type="paragraph" w:styleId="18">
    <w:name w:val="header"/>
    <w:basedOn w:val="1"/>
    <w:link w:val="41"/>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List"/>
    <w:basedOn w:val="1"/>
    <w:next w:val="1"/>
    <w:qFormat/>
    <w:uiPriority w:val="0"/>
    <w:pPr>
      <w:ind w:left="420" w:hanging="420"/>
    </w:pPr>
    <w:rPr>
      <w:rFonts w:ascii="Arial" w:hAnsi="Arial" w:eastAsia="楷体_GB2312"/>
      <w:sz w:val="28"/>
    </w:rPr>
  </w:style>
  <w:style w:type="paragraph" w:styleId="20">
    <w:name w:val="Body Text Indent 3"/>
    <w:basedOn w:val="1"/>
    <w:link w:val="37"/>
    <w:qFormat/>
    <w:uiPriority w:val="99"/>
    <w:pPr>
      <w:ind w:left="645" w:firstLine="645"/>
    </w:pPr>
    <w:rPr>
      <w:rFonts w:ascii="Arial" w:hAnsi="Arial" w:eastAsia="仿宋_GB2312"/>
      <w:color w:val="FFFF00"/>
      <w:sz w:val="32"/>
      <w:szCs w:val="20"/>
    </w:rPr>
  </w:style>
  <w:style w:type="paragraph" w:styleId="21">
    <w:name w:val="toc 2"/>
    <w:basedOn w:val="1"/>
    <w:next w:val="1"/>
    <w:qFormat/>
    <w:uiPriority w:val="39"/>
    <w:pPr>
      <w:ind w:left="210"/>
      <w:jc w:val="left"/>
    </w:pPr>
    <w:rPr>
      <w:smallCaps/>
      <w:sz w:val="20"/>
      <w:szCs w:val="20"/>
    </w:rPr>
  </w:style>
  <w:style w:type="paragraph" w:styleId="22">
    <w:name w:val="Normal (Web)"/>
    <w:basedOn w:val="1"/>
    <w:qFormat/>
    <w:uiPriority w:val="99"/>
    <w:pPr>
      <w:spacing w:before="150" w:after="150" w:line="480" w:lineRule="auto"/>
      <w:jc w:val="left"/>
    </w:pPr>
    <w:rPr>
      <w:rFonts w:hint="eastAsia" w:ascii="宋体" w:hAnsi="宋体"/>
      <w:color w:val="000000"/>
    </w:rPr>
  </w:style>
  <w:style w:type="paragraph" w:styleId="23">
    <w:name w:val="annotation subject"/>
    <w:basedOn w:val="9"/>
    <w:next w:val="9"/>
    <w:link w:val="46"/>
    <w:semiHidden/>
    <w:unhideWhenUsed/>
    <w:qFormat/>
    <w:uiPriority w:val="99"/>
    <w:rPr>
      <w:b/>
      <w:bCs/>
    </w:rPr>
  </w:style>
  <w:style w:type="paragraph" w:styleId="24">
    <w:name w:val="Body Text First Indent"/>
    <w:basedOn w:val="10"/>
    <w:qFormat/>
    <w:uiPriority w:val="0"/>
    <w:pPr>
      <w:spacing w:line="360" w:lineRule="auto"/>
      <w:ind w:firstLine="200" w:firstLineChars="200"/>
    </w:pPr>
    <w:rPr>
      <w:rFonts w:ascii="仿宋_GB2312" w:hAnsi="Arial" w:eastAsia="仿宋_GB2312"/>
      <w:sz w:val="30"/>
      <w:szCs w:val="30"/>
    </w:rPr>
  </w:style>
  <w:style w:type="paragraph" w:styleId="25">
    <w:name w:val="Body Text First Indent 2"/>
    <w:basedOn w:val="11"/>
    <w:next w:val="4"/>
    <w:qFormat/>
    <w:uiPriority w:val="0"/>
    <w:pPr>
      <w:spacing w:after="0" w:line="360" w:lineRule="auto"/>
      <w:ind w:left="0" w:firstLine="420"/>
    </w:pPr>
    <w:rPr>
      <w:rFonts w:ascii="宋体" w:hAnsi="宋体"/>
      <w:sz w:val="20"/>
      <w:szCs w:val="20"/>
    </w:rPr>
  </w:style>
  <w:style w:type="table" w:styleId="27">
    <w:name w:val="Table Grid"/>
    <w:basedOn w:val="2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Hyperlink"/>
    <w:qFormat/>
    <w:uiPriority w:val="99"/>
    <w:rPr>
      <w:rFonts w:cs="Times New Roman"/>
      <w:color w:val="336699"/>
      <w:sz w:val="18"/>
      <w:u w:val="none"/>
    </w:rPr>
  </w:style>
  <w:style w:type="character" w:styleId="30">
    <w:name w:val="annotation reference"/>
    <w:basedOn w:val="28"/>
    <w:semiHidden/>
    <w:unhideWhenUsed/>
    <w:qFormat/>
    <w:uiPriority w:val="99"/>
    <w:rPr>
      <w:sz w:val="21"/>
      <w:szCs w:val="21"/>
    </w:rPr>
  </w:style>
  <w:style w:type="paragraph" w:customStyle="1" w:styleId="31">
    <w:name w:val="正文1"/>
    <w:basedOn w:val="1"/>
    <w:next w:val="1"/>
    <w:qFormat/>
    <w:uiPriority w:val="0"/>
    <w:pPr>
      <w:ind w:firstLine="425"/>
    </w:pPr>
    <w:rPr>
      <w:rFonts w:ascii="Calibri" w:hAnsi="Calibri"/>
      <w:szCs w:val="20"/>
    </w:rPr>
  </w:style>
  <w:style w:type="paragraph" w:customStyle="1" w:styleId="32">
    <w:name w:val="首行缩进"/>
    <w:basedOn w:val="1"/>
    <w:qFormat/>
    <w:uiPriority w:val="0"/>
    <w:pPr>
      <w:spacing w:line="360" w:lineRule="auto"/>
      <w:ind w:firstLine="480"/>
    </w:pPr>
    <w:rPr>
      <w:rFonts w:hAnsi="宋体" w:cs="宋体"/>
    </w:rPr>
  </w:style>
  <w:style w:type="paragraph" w:customStyle="1" w:styleId="33">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34">
    <w:name w:val="正文文本 Char"/>
    <w:basedOn w:val="28"/>
    <w:semiHidden/>
    <w:qFormat/>
    <w:uiPriority w:val="99"/>
    <w:rPr>
      <w:rFonts w:ascii="Times New Roman" w:hAnsi="Times New Roman" w:eastAsia="宋体" w:cs="Times New Roman"/>
      <w:kern w:val="0"/>
      <w:sz w:val="24"/>
      <w:szCs w:val="24"/>
    </w:rPr>
  </w:style>
  <w:style w:type="character" w:customStyle="1" w:styleId="35">
    <w:name w:val="正文文本缩进 3 Char"/>
    <w:basedOn w:val="28"/>
    <w:semiHidden/>
    <w:qFormat/>
    <w:uiPriority w:val="99"/>
    <w:rPr>
      <w:rFonts w:ascii="Times New Roman" w:hAnsi="Times New Roman" w:eastAsia="宋体" w:cs="Times New Roman"/>
      <w:kern w:val="0"/>
      <w:sz w:val="16"/>
      <w:szCs w:val="16"/>
    </w:rPr>
  </w:style>
  <w:style w:type="character" w:customStyle="1" w:styleId="36">
    <w:name w:val="正文文本 字符"/>
    <w:link w:val="10"/>
    <w:qFormat/>
    <w:locked/>
    <w:uiPriority w:val="99"/>
    <w:rPr>
      <w:rFonts w:ascii="Times New Roman" w:hAnsi="Times New Roman" w:eastAsia="宋体" w:cs="Times New Roman"/>
      <w:kern w:val="0"/>
      <w:sz w:val="24"/>
      <w:szCs w:val="24"/>
    </w:rPr>
  </w:style>
  <w:style w:type="character" w:customStyle="1" w:styleId="37">
    <w:name w:val="正文文本缩进 3 字符"/>
    <w:link w:val="20"/>
    <w:qFormat/>
    <w:locked/>
    <w:uiPriority w:val="99"/>
    <w:rPr>
      <w:rFonts w:ascii="Arial" w:hAnsi="Arial" w:eastAsia="仿宋_GB2312" w:cs="Times New Roman"/>
      <w:color w:val="FFFF00"/>
      <w:kern w:val="0"/>
      <w:sz w:val="32"/>
      <w:szCs w:val="20"/>
    </w:rPr>
  </w:style>
  <w:style w:type="paragraph" w:customStyle="1" w:styleId="38">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39">
    <w:name w:val="WPS Plain"/>
    <w:qFormat/>
    <w:uiPriority w:val="0"/>
    <w:rPr>
      <w:rFonts w:ascii="Times New Roman" w:hAnsi="Times New Roman" w:eastAsia="宋体" w:cs="Times New Roman"/>
      <w:lang w:val="en-US" w:eastAsia="zh-CN" w:bidi="ar-SA"/>
    </w:rPr>
  </w:style>
  <w:style w:type="paragraph" w:styleId="40">
    <w:name w:val="List Paragraph"/>
    <w:basedOn w:val="1"/>
    <w:qFormat/>
    <w:uiPriority w:val="34"/>
    <w:pPr>
      <w:ind w:firstLine="420" w:firstLineChars="200"/>
    </w:pPr>
    <w:rPr>
      <w:rFonts w:eastAsia="Times New Roman"/>
    </w:rPr>
  </w:style>
  <w:style w:type="character" w:customStyle="1" w:styleId="41">
    <w:name w:val="页眉 字符"/>
    <w:basedOn w:val="28"/>
    <w:link w:val="18"/>
    <w:qFormat/>
    <w:uiPriority w:val="99"/>
    <w:rPr>
      <w:rFonts w:ascii="Times New Roman" w:hAnsi="Times New Roman" w:eastAsia="宋体" w:cs="Times New Roman"/>
      <w:sz w:val="18"/>
      <w:szCs w:val="18"/>
    </w:rPr>
  </w:style>
  <w:style w:type="character" w:customStyle="1" w:styleId="42">
    <w:name w:val="页脚 字符"/>
    <w:basedOn w:val="28"/>
    <w:link w:val="16"/>
    <w:qFormat/>
    <w:uiPriority w:val="99"/>
    <w:rPr>
      <w:rFonts w:ascii="Times New Roman" w:hAnsi="Times New Roman" w:eastAsia="宋体" w:cs="Times New Roman"/>
      <w:sz w:val="18"/>
      <w:szCs w:val="18"/>
    </w:rPr>
  </w:style>
  <w:style w:type="character" w:customStyle="1" w:styleId="43">
    <w:name w:val="批注框文本 字符"/>
    <w:basedOn w:val="28"/>
    <w:link w:val="15"/>
    <w:semiHidden/>
    <w:qFormat/>
    <w:uiPriority w:val="99"/>
    <w:rPr>
      <w:rFonts w:ascii="Times New Roman" w:hAnsi="Times New Roman" w:eastAsia="宋体" w:cs="Times New Roman"/>
      <w:sz w:val="18"/>
      <w:szCs w:val="18"/>
    </w:rPr>
  </w:style>
  <w:style w:type="character" w:customStyle="1" w:styleId="44">
    <w:name w:val="文档结构图 字符"/>
    <w:basedOn w:val="28"/>
    <w:link w:val="8"/>
    <w:qFormat/>
    <w:uiPriority w:val="99"/>
    <w:rPr>
      <w:rFonts w:ascii="宋体" w:hAnsi="Times New Roman" w:eastAsia="宋体" w:cs="Times New Roman"/>
      <w:sz w:val="18"/>
      <w:szCs w:val="18"/>
    </w:rPr>
  </w:style>
  <w:style w:type="character" w:customStyle="1" w:styleId="45">
    <w:name w:val="批注文字 字符"/>
    <w:basedOn w:val="28"/>
    <w:link w:val="9"/>
    <w:qFormat/>
    <w:uiPriority w:val="99"/>
    <w:rPr>
      <w:rFonts w:ascii="Times New Roman" w:hAnsi="Times New Roman" w:eastAsia="宋体" w:cs="Times New Roman"/>
      <w:sz w:val="24"/>
      <w:szCs w:val="24"/>
    </w:rPr>
  </w:style>
  <w:style w:type="character" w:customStyle="1" w:styleId="46">
    <w:name w:val="批注主题 字符"/>
    <w:basedOn w:val="45"/>
    <w:link w:val="23"/>
    <w:semiHidden/>
    <w:qFormat/>
    <w:uiPriority w:val="99"/>
    <w:rPr>
      <w:rFonts w:ascii="Times New Roman" w:hAnsi="Times New Roman" w:eastAsia="宋体" w:cs="Times New Roman"/>
      <w:b/>
      <w:bCs/>
      <w:sz w:val="24"/>
      <w:szCs w:val="24"/>
    </w:rPr>
  </w:style>
  <w:style w:type="paragraph" w:customStyle="1" w:styleId="47">
    <w:name w:val="正文首行缩进2字符"/>
    <w:basedOn w:val="1"/>
    <w:qFormat/>
    <w:uiPriority w:val="0"/>
    <w:pPr>
      <w:ind w:firstLine="482"/>
    </w:pPr>
  </w:style>
  <w:style w:type="character" w:customStyle="1" w:styleId="48">
    <w:name w:val="current"/>
    <w:basedOn w:val="28"/>
    <w:qFormat/>
    <w:uiPriority w:val="0"/>
    <w:rPr>
      <w:b/>
      <w:bCs/>
      <w:color w:val="05A7D8"/>
      <w:sz w:val="18"/>
      <w:szCs w:val="18"/>
    </w:rPr>
  </w:style>
  <w:style w:type="character" w:customStyle="1" w:styleId="49">
    <w:name w:val="l-btn-left"/>
    <w:basedOn w:val="28"/>
    <w:qFormat/>
    <w:uiPriority w:val="0"/>
  </w:style>
  <w:style w:type="character" w:customStyle="1" w:styleId="50">
    <w:name w:val="l-btn-text36"/>
    <w:basedOn w:val="28"/>
    <w:qFormat/>
    <w:uiPriority w:val="0"/>
  </w:style>
  <w:style w:type="character" w:customStyle="1" w:styleId="51">
    <w:name w:val="l-btn-text"/>
    <w:basedOn w:val="28"/>
    <w:qFormat/>
    <w:uiPriority w:val="0"/>
  </w:style>
  <w:style w:type="character" w:customStyle="1" w:styleId="52">
    <w:name w:val="grame"/>
    <w:basedOn w:val="28"/>
    <w:qFormat/>
    <w:uiPriority w:val="0"/>
  </w:style>
  <w:style w:type="paragraph" w:customStyle="1" w:styleId="53">
    <w:name w:val="标准文本"/>
    <w:basedOn w:val="1"/>
    <w:qFormat/>
    <w:uiPriority w:val="0"/>
    <w:pPr>
      <w:spacing w:line="360" w:lineRule="auto"/>
      <w:ind w:firstLine="480" w:firstLineChars="200"/>
    </w:pPr>
    <w:rPr>
      <w:rFonts w:cs="宋体"/>
      <w:szCs w:val="20"/>
    </w:rPr>
  </w:style>
  <w:style w:type="paragraph" w:customStyle="1" w:styleId="54">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55">
    <w:name w:val="Table Paragraph"/>
    <w:basedOn w:val="1"/>
    <w:qFormat/>
    <w:uiPriority w:val="99"/>
  </w:style>
  <w:style w:type="paragraph" w:customStyle="1" w:styleId="56">
    <w:name w:val="普通正文"/>
    <w:basedOn w:val="1"/>
    <w:qFormat/>
    <w:uiPriority w:val="0"/>
    <w:pPr>
      <w:adjustRightInd w:val="0"/>
      <w:spacing w:line="360" w:lineRule="auto"/>
      <w:ind w:firstLine="480"/>
      <w:jc w:val="left"/>
    </w:pPr>
    <w:rPr>
      <w:rFonts w:ascii="Arial" w:hAnsi="Arial"/>
    </w:rPr>
  </w:style>
  <w:style w:type="paragraph" w:customStyle="1" w:styleId="57">
    <w:name w:val="正文缩进11"/>
    <w:basedOn w:val="1"/>
    <w:qFormat/>
    <w:uiPriority w:val="99"/>
    <w:rPr>
      <w:sz w:val="20"/>
      <w:szCs w:val="20"/>
    </w:rPr>
  </w:style>
  <w:style w:type="paragraph" w:customStyle="1" w:styleId="58">
    <w:name w:val="1.1.1.1"/>
    <w:qFormat/>
    <w:uiPriority w:val="0"/>
    <w:pPr>
      <w:keepLines/>
      <w:spacing w:line="520" w:lineRule="exact"/>
      <w:ind w:firstLine="200"/>
      <w:outlineLvl w:val="3"/>
    </w:pPr>
    <w:rPr>
      <w:rFonts w:ascii="Times New Roman" w:hAnsi="Times New Roman" w:eastAsia="方正仿宋_GBK" w:cs="Times New Roman"/>
      <w:b/>
      <w:sz w:val="24"/>
      <w:szCs w:val="22"/>
      <w:lang w:val="en-US" w:eastAsia="zh-CN" w:bidi="ar-SA"/>
    </w:rPr>
  </w:style>
  <w:style w:type="paragraph" w:customStyle="1" w:styleId="59">
    <w:name w:val="仿宋GBK正文"/>
    <w:basedOn w:val="1"/>
    <w:qFormat/>
    <w:uiPriority w:val="0"/>
  </w:style>
  <w:style w:type="paragraph" w:customStyle="1" w:styleId="60">
    <w:name w:val="WPSOffice手动目录 1"/>
    <w:qFormat/>
    <w:uiPriority w:val="0"/>
    <w:rPr>
      <w:rFonts w:ascii="Times New Roman" w:hAnsi="Times New Roman" w:eastAsia="宋体" w:cs="Times New Roman"/>
      <w:lang w:val="en-US" w:eastAsia="zh-CN" w:bidi="ar-SA"/>
    </w:rPr>
  </w:style>
  <w:style w:type="paragraph" w:customStyle="1" w:styleId="61">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2">
    <w:name w:val="列出段落2"/>
    <w:basedOn w:val="1"/>
    <w:qFormat/>
    <w:uiPriority w:val="99"/>
    <w:pPr>
      <w:spacing w:line="360" w:lineRule="auto"/>
      <w:ind w:firstLine="420" w:firstLineChars="200"/>
    </w:pPr>
    <w:rPr>
      <w:rFonts w:ascii="Calibri" w:hAnsi="Calibri" w:cs="Calibri"/>
    </w:rPr>
  </w:style>
  <w:style w:type="paragraph" w:customStyle="1" w:styleId="63">
    <w:name w:val="标题 11"/>
    <w:basedOn w:val="1"/>
    <w:next w:val="1"/>
    <w:qFormat/>
    <w:uiPriority w:val="0"/>
    <w:pPr>
      <w:keepNext/>
      <w:keepLines/>
      <w:spacing w:before="340" w:after="330" w:line="576" w:lineRule="auto"/>
      <w:outlineLvl w:val="0"/>
    </w:pPr>
    <w:rPr>
      <w:b/>
      <w:bCs/>
      <w:sz w:val="44"/>
      <w:szCs w:val="44"/>
    </w:rPr>
  </w:style>
  <w:style w:type="character" w:customStyle="1" w:styleId="64">
    <w:name w:val="NormalCharacter"/>
    <w:qFormat/>
    <w:uiPriority w:val="0"/>
    <w:rPr>
      <w:rFonts w:ascii="Times New Roman" w:hAnsi="Times New Roman" w:eastAsia="宋体" w:cs="Times New Roman"/>
    </w:rPr>
  </w:style>
  <w:style w:type="paragraph" w:customStyle="1" w:styleId="65">
    <w:name w:val="Other|1"/>
    <w:basedOn w:val="1"/>
    <w:qFormat/>
    <w:uiPriority w:val="0"/>
    <w:pPr>
      <w:spacing w:line="480" w:lineRule="auto"/>
      <w:ind w:firstLine="400"/>
    </w:pPr>
    <w:rPr>
      <w:rFonts w:ascii="宋体" w:hAnsi="宋体" w:cs="宋体"/>
      <w:sz w:val="20"/>
      <w:szCs w:val="20"/>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51</Pages>
  <Words>24298</Words>
  <Characters>26318</Characters>
  <Lines>167</Lines>
  <Paragraphs>47</Paragraphs>
  <TotalTime>30</TotalTime>
  <ScaleCrop>false</ScaleCrop>
  <LinksUpToDate>false</LinksUpToDate>
  <CharactersWithSpaces>29654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2024-11-18T05:21:00Z</dcterms:created>
  <dc:creator>阙美霞</dc:creator>
  <cp:lastModifiedBy>ALICE</cp:lastModifiedBy>
  <cp:lastPrinted>2024-12-04T03:53:00Z</cp:lastPrinted>
  <dcterms:modified xsi:type="dcterms:W3CDTF">2025-10-23T08:45:17Z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3D7EF841FB6A46B283AC80394155C496_13</vt:lpwstr>
  </property>
  <property fmtid="{D5CDD505-2E9C-101B-9397-08002B2CF9AE}" pid="4" name="KSOTemplateDocerSaveRecord">
    <vt:lpwstr>eyJoZGlkIjoiOGQ2ZmMzY2QwOTcyNzVkZDlmZDkwMTIzZGIwZGU2MGUiLCJ1c2VySWQiOiIyNTI1ODcxNzMifQ==</vt:lpwstr>
  </property>
</Properties>
</file>